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ATAS/324/2022 vom 8. April 2022</w:t>
      </w:r>
    </w:p>
    <w:p>
      <w:r>
        <w:t>GE Cour de justice, 2022-04-08, FR</w:t>
      </w:r>
    </w:p>
    <w:p>
      <w:r>
        <w:rPr>
          <w:b/>
        </w:rPr>
        <w:t xml:space="preserve">Quelle: </w:t>
      </w:r>
      <w:r>
        <w:t>https://mcp.opencaselaw.ch/entscheid/ge_gerichte_ATAS_324_2022</w:t>
      </w:r>
    </w:p>
    <w:p>
      <w:r>
        <w:t>FR: GE_GERICHTE ATAS/324/2022 du 8 avril 2022</w:t>
      </w:r>
    </w:p>
    <w:p>
      <w:r>
        <w:t>IT: GE_GERICHTE ATAS/324/2022 del 8 aprile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Le délai de recours est de trente jours (art. 56 LPGA ; art. 62 al. 1 de la loi sur la procédure administrative du 12 septembre 1985 [LPA - E 5 10]), étant précisé qu’à teneur de l'art. 1 al. 1 LAI, les dispositions de la LPGA s'appliquent à l'assurance-invalidité, à moins que la loi n'y déroge expressément.</w:t>
      </w:r>
    </w:p>
    <w:p>
      <w:r>
        <w:rPr>
          <w:b/>
        </w:rPr>
        <w:t>E. 2.2</w:t>
      </w:r>
    </w:p>
    <w:p>
      <w:r>
        <w:t>Interjeté dans la forme et le délai prévus par la loi, le recours est recevable.</w:t>
      </w:r>
    </w:p>
    <w:p>
      <w:r>
        <w:rPr>
          <w:b/>
        </w:rPr>
        <w:t>E. 3</w:t>
      </w:r>
    </w:p>
    <w:p>
      <w:r>
        <w:t>Le litige porte sur le bien-fondé du rejet de la nouvelle demande de prestations de la recourante, singulièrement sur l’existence d'une aggravation de son état de santé entre le 31 août 2016, date de la décision entrée en force de l’intimé, et le 21 mai 2019, date de la décision dont est recours.</w:t>
      </w:r>
    </w:p>
    <w:p>
      <w:r>
        <w:rPr>
          <w:b/>
        </w:rPr>
        <w:t>E. 3.2</w:t>
      </w:r>
    </w:p>
    <w:p>
      <w:r>
        <w:t>;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w:t>
      </w:r>
    </w:p>
    <w:p>
      <w:r>
        <w:t>A/2443/2019 - 11/22 - psychiques, y compris troubles dépressifs de degré léger ou moyen (ATF 143 V 409 consid. 4.5.1).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4.1</w:t>
      </w:r>
    </w:p>
    <w:p>
      <w:r>
        <w:t>Conformément à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Lorsque l'administration entre en matière sur une nouvelle demande de prestations, elle doit examiner la cause au plan matériel - soit en instruire tous les aspects médicaux et juridiques - et s'assurer que la modification du degré</w:t>
      </w:r>
    </w:p>
    <w:p>
      <w:r>
        <w:t>A/2443/2019 - 9/22 -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ATF 109 V 114 consid. 2a et b).</w:t>
      </w:r>
    </w:p>
    <w:p>
      <w:r>
        <w:rPr>
          <w:b/>
        </w:rPr>
        <w:t>E. 4.2</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5.1</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w:t>
      </w:r>
    </w:p>
    <w:p>
      <w:r>
        <w:t>A/2443/2019 - 10/22 -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ATF 141 V 281 consid. 2.2 et</w:t>
      </w:r>
    </w:p>
    <w:p>
      <w:r>
        <w:rPr>
          <w:b/>
        </w:rPr>
        <w:t>E. 5.2.2</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de principe du 11 juillet 2019 (arrêt 9C_724/2018),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significatives à la santé au sens du droit de l’assurance-invalidité (consid. 5.3.3 et 6).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w:t>
      </w:r>
    </w:p>
    <w:p>
      <w:r>
        <w:t>A/2443/2019 - 12/22 -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5.2.3</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Ces indicateurs sont classés comme suit : I. Catégorie « degré de gravité fonctionnelle »</w:t>
      </w:r>
    </w:p>
    <w:p>
      <w:r>
        <w:t>A/2443/2019 - 13/22 -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w:t>
      </w:r>
    </w:p>
    <w:p>
      <w:r>
        <w:t>A/2443/2019 - 14/22 -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w:t>
      </w:r>
    </w:p>
    <w:p>
      <w:r>
        <w:t>A/2443/2019 - 15/22 -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5.2.4</w:t>
      </w:r>
    </w:p>
    <w:p>
      <w:r>
        <w:t>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5.3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6</w:t>
      </w:r>
    </w:p>
    <w:p>
      <w:r>
        <w:t>La loi prévoit différentes méthodes pour évaluer l'invalidité d'un assuré en fonction du statut de ce dernier.</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en corrélation</w:t>
      </w:r>
    </w:p>
    <w:p>
      <w:r>
        <w:t>A/2443/2019 - 16/22 - avec l'art. 16 LPGA) et ses sous-variantes, la méthode de comparaison en pourcent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w:t>
      </w:r>
    </w:p>
    <w:p>
      <w:r>
        <w:rPr>
          <w:b/>
        </w:rPr>
        <w:t>E. 6.2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L’art. 27 du règlement sur l'assurance-invalidité du 17 janvier 1961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w:t>
      </w:r>
    </w:p>
    <w:p>
      <w:r>
        <w:rPr>
          <w:b/>
        </w:rPr>
        <w:t>E. 6.3</w:t>
      </w:r>
    </w:p>
    <w:p>
      <w:r>
        <w:t>Afin de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w:t>
      </w:r>
    </w:p>
    <w:p>
      <w:r>
        <w:t>A/2443/2019 - 17/22 - lucrative. Pour déterminer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l’occurrence, il convient d’examiner si l’état de santé de la recourante s’est péjoré depuis la décision du 31 août 2016. Pour ce faire, il y a lieu de comparer les faits tels qu'ils se présentaient lors de cette décision à ceux prévalant au moment de la décision querellée du 12 décembre 2018. Dans sa décision du 31 août 2016, l’intimé a nié le droit de la recourante à une rente d’invalidité au regard de sa capacité de travail entière dans une activité adaptée aux limitations fonctionnelles somatiques. L’activité habituelle de femme de ménage n’était plus exigible en raison des douleurs de l’épaule droite. Aucune atteinte psychique prépondérante n’avait toutefois été retenue, étant précisé que l’état anxio-dépressif mentionné par la Dresse B______ dans son rapport du</w:t>
      </w:r>
    </w:p>
    <w:p>
      <w:r>
        <w:rPr>
          <w:b/>
        </w:rPr>
        <w:t>E. 8.2</w:t>
      </w:r>
    </w:p>
    <w:p>
      <w:r>
        <w:t>S’agissant du calcul du degré d’invalidité, il convient de constater que, selon la décision de l’intimé du 31 août 2016, la recourant a un statut mixte, de 30 % active et de 70 % ménagère. Ce statut, non contesté, se fonde sur le fait qu’à</w:t>
      </w:r>
    </w:p>
    <w:p>
      <w:r>
        <w:t>A/2443/2019 - 20/22 - teneur du dossier, la recourante a toujours travaillé à temps partiel en qualité de nettoyeuse. Le dernier emploi de l’intéressée, remontant à 2014, était exercé à raison de douze heures par semaine, ce qui équivaut à un taux d’activité de 30 %. Cette appréciation est du reste confirmée par l’extrait du compte individuel de la recourante, qui fait état d’un gain annuel moyen d’environ CHF 13'000.- depuis 2002, étant précisé que les revenus ont diminué depuis 2008.</w:t>
      </w:r>
    </w:p>
    <w:p>
      <w:r>
        <w:rPr>
          <w:b/>
        </w:rPr>
        <w:t>E. 8.2.1</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L'enquête à domicile constitue un moyen de preuve approprié pour connaître l'étendue des empêchements dans la vie quotidienne qui sont causés par une affection psychique. Lorsque les conclusions de l'enquête ne coïncident pas avec les constatations médicales de ces empêchements, on accorde en règle générale plus de poids à ces dernières (arrêt du Tribunal fédéral 9C_497/2014 du 2 avril 2015 consid. 4.1.1 et les références).</w:t>
      </w:r>
    </w:p>
    <w:p>
      <w:r>
        <w:rPr>
          <w:b/>
        </w:rPr>
        <w:t>E. 8.2.2</w:t>
      </w:r>
    </w:p>
    <w:p>
      <w:r>
        <w:t>En l’occurrence, vu le statut mixte de la recourante, le calcul du degré d’invalidité doit être effectué, d’une part, sur la base d’une capacité de travail de 70 % de la recourante depuis octobre 2018, dans une activité adaptée à ses limitations fonctionnelles, d’autre part, sur la base de sa capacité ménagère. Aucune enquête ménagère ne figure toutefois au dossier. Or, compte tenu d’une capacité de travail de 70 % retenue par l’experte psychiatre, il n’apparait pas nécessaire de procéder à cet acte. En effet, l’existence d’une capacité de travail de 70 % implique en principe que la recourante possède des ressources suffisantes pour mener à bien ses tâches ménagères, qu’elle peut faire plus lentement et en les fractionnant. Il est certes établi que, sur le plan somatique, la recourante souffre depuis 2012 de douleurs de l’épaule droite (syndrome de la coiffe) entrainant des limitations fonctionnelles (pas d’utilisation répétée du membre supérieur droit, pas de travail au-dessus de l’horizontale avec le membre supérieur droit, port de charge à 5kg ; cf. avis du SMR du 16 juin 2016). Devant les deux expertes, la recourante a toutefois indiqué qu’elle s’occupait du ménage (nettoyage, lessive,</w:t>
      </w:r>
    </w:p>
    <w:p>
      <w:r>
        <w:t>A/2443/2019 - 21/22 - repassage) de son appartement de six pièces et demi en plusieurs étapes en raison de douleurs à l’épaule droite. Elle a même précisé qu’elle gardait les enfants de ses amies et faisait « un peu de ménage chez elles » (expertise de la Dresse G______ du 20 janvier 2019, p. 12). La Dresse J______ a, d’ailleurs, retenu que la recourante avait conservé sa capacité à gérer la domesticité. Elle sortait, faisait son ménage, cuisinait pour elle et ses fils et lavait leur linge. L’intérieur de l’appartement était, selon ses dires, toujours rangé et soigné (expertise de la Dresse J______ 20 décembre 2021, p. 13). Or, il faudrait un empêchement dans l’accomplissement des activités habituelles de plus de 40 % pour qu’elle ait droit à un quart de rente d’invalidité, ce qui parait illusoire compte tenu des éléments retenus dans les deux expertises au dossier. Dans ces conditions, une enquête ménagère n’apparaît pas utile (dans le même sens arrêt du Tribunal fédéral 9C_103/2010 du 2 septembre 2010 ; cf. ATAS/1284/2021 du 13 décembre 2021). Par appréciation anticipée des preuves, il y sera donc renoncé.</w:t>
      </w:r>
    </w:p>
    <w:p>
      <w:r>
        <w:rPr>
          <w:b/>
        </w:rPr>
        <w:t>E. 8.2.3</w:t>
      </w:r>
    </w:p>
    <w:p>
      <w:r>
        <w:t>Au vu des éléments qui précèdent, il convient de retenir que la recourante ne présente pas le degré d’invalidité lui donnant droit à une rente d’invalidité. 9. Le recours ne peut ainsi qu’être rejeté. Au vu du sort du recours, il y a lieu de condamner la recourante au paiement d’un émolument de CHF 200.- (art. 69 al. 1bis LAI).</w:t>
      </w:r>
    </w:p>
    <w:p>
      <w:r>
        <w:t>A/2443/2019 - 22/22 - PAR CES MOTIFS, LA CHAMBRE DES ASSURANCES SOCIALES : Statuant À la forme :</w:t>
      </w:r>
    </w:p>
    <w:p>
      <w:r>
        <w:rPr>
          <w:b/>
        </w:rPr>
        <w:t>E. 10</w:t>
      </w:r>
    </w:p>
    <w:p>
      <w:r>
        <w:t>mai 2016 n’avait alors pas été pris en considération. Dans la décision entreprise, se référant à l’avis du SMR du 26 mars 2019, lui-même fondé sur le rapport d’expertise de la Dresse G______ du 20 mars 2019, l’OAI a retenu que la capacité de travail de la recourante était entière dans une activité adaptée. Dans l’ordonnance d’expertise du 29 juin 2020, la chambre de céans a toutefois estimé que le rapport de la Dresse G______ comportait certaines contradictions et que les rapports du psychiatre traitant faisaient état d’éléments objectifs de nature à remettre en cause les conclusions de la Dresse G______. Une expertise psychiatrique judiciaire a ainsi été mise en œuvre (ATAS/540/2020).</w:t>
      </w:r>
    </w:p>
    <w:p>
      <w:r>
        <w:t>A/2443/2019 - 18/22 - Dans son rapport du 20 décembre 2021, l’experte judiciaire a posé les diagnostics de personnalité émotionnellement labile de type borderline (F60.31), épisode dépressif moyen sans syndrome somatique (F32.10) et troubles mentaux et troubles du comportement liés à l’utilisation de cocaïne, utilisation continue (F14.25). Le seul diagnostic avec effet invalidant était l’épisode dépressif moyen sans syndrome somatique (F32.10), pour lequel elle a retenu une capacité de travail médico théorique de 70 % en rapport avec la fatigabilité – objectivée à l’examen de Mme K______ – et la tristesse de l’expertisée. Ce trouble était présent depuis octobre 2018, date du début du suivi chez le Dr E______. Il y avait une amélioration lors de l’examen clinique effectué le 29 février 2019, puis une rechute, la capacité de travail étant de 70 % depuis février 2021. L’experte a effectué une analyse des indicateurs jurisprudentiels pertinents. En particulier, s’agissant du traitement, l’experte a relevé que la compliance était mauvaise, l’équipe médicale de la recourante ayant tenté, sans succès, d’introduire un antidépresseur. S’agissant du contexte social, l’experte a relevé que la recourante avait quelques amis, même si elle était discrète sur sa vie privée. Elle entretenait de bons rapports avec ses fils, qui la voyaient régulièrement. S’agissant du complexe de la personnalité, elle avait une personnalité émotionnellement labile de type borderline qui influençait son épisode dépressif moyen sans syndrome somatique. Le trouble de la personnalité émotionnellement labile de type borderline était constitué pour de nombreux individus qui en souffraient d’une fragilité accrue aux addictions. En cela il n’aidait pas l’abstinence à la cocaïne. Toutefois ce trouble n’expliquait pas dans sa totalité la prise de toxiques et n’empêchait pas une abstinence si celle-ci était décidée par le sujet. S’agissant de la catégorie cohérence, l’experte a relevé que l’examen neuropsychologique de Mme K______ mettait en évidence une probable exagération des symptômes. Enfin, s’agissant des ressources, l’experte a retenu qu’elles existaient puisque la recourante pouvait faire face à des tâches domestiques, son quotient intellectuel ne paraissait pas altéré, elle avait des amis et entretenait des bonnes relations avec ses fils. La recourante, qui indique être d’accord avec l’essentiel de l’analyse contenue dans l’expertise, conteste le taux d’incapacité de travail retenu par l’experte, ainsi que l’absence de caractère invalidant du diagnostic de personnalité émotionnellement labile. En l’occurrence, il n’y a pas lieu de s’écarter des conclusions de l’expertise. Celles-ci reposent en effet sur une évaluation médicale complète, trois entretiens avec l’expertisée, un examen neuropsychologique ainsi qu’un entretien avec le médecin traitant. De son côté, la recourante ne fait pas état d’éléments objectivement vérifiables ignorés dans le cadre de l’expertise et suffisamment pertinents pour remettre en cause les conclusions ou en établir le caractère objectivement incomplet. Elle se limite à se référer à une autre affaire « similaire » ayant donné lieu à un arrêt de la chambre de céans</w:t>
      </w:r>
    </w:p>
    <w:p>
      <w:r>
        <w:t>A/2443/2019 - 19/22 - (ATAS/970/2019), dans laquelle les experts avaient retenu une capacité de travail médico-théorique de 25 % dans l’activité habituelle d’aide-soignant d’une assurée présentant « les mêmes troubles ». Or, outre le fait que l’assurée présentait, dans l’affaire précitée, des diagnostics partiellement différents (dont en particulier des troubles psychiatriques sur opiacés, syndrome de dépendance et un trouble dépressif récurrent), les experts avaient retenu qu’elle souffrait de dépendance à plusieurs substances, réduisant partiellement ses compétences cognitives, ses capacités attentionnelles et de concentration. Or, dans le cas présent, l’experte n’a pas relevé de troubles de la concentration, a retenu que le quotient intellectuel ne paraissait pas altéré et, de manière plus significative, a considéré que des ressources existaient, puisque l’expertisée pouvait faire face à des tâches domestiques, qu’elle avait quelques amis et entretenait de bons rapports avec son fils. L’analyse de la journée type de l’expertisée mettait, en effet, en évidence une capacité conservée à gérer la domesticité. Elle sortait, faisait son ménage, cuisinait pour elle et ses fils, et lavait le linge. L’intérieur de son appartement était toujours rangé et soigné. Certes, le reste de la journée était impacté par une baisse d’élan vital, une baisse des intérêts habituels de l’expertisée, ainsi que par une tristesse attestant d’une souffrance réelle. La diminution de la capacité de travail retenue par l’experte était motivée par la fatigabilité et la tristesse de l’assurée. Cette appréciation, qui n’est remise en cause par aucun élément objectif et concret, doit être suivie. Quant à l’absence de caractère invalidant du diagnostic de personnalité émotionnellement labile, l’experte a expliqué qu’il compliquait sérieusement les relations interpersonnelles et professionnelles, rendant les rapports humains compliqués, mais n’empêchait pas l’activité professionnelle. Cette motivation, certes succincte, est toutefois à mettre en relation avec l’analyse de l’ensemble des indicateurs, qui selon la spécialiste, ne permettent de retenir une incapacité de travail qu’en lien avec la tristesse et la fatigabilité, dûment objectivée à l’examen neuropsychologique, de la recourante. S’agissant de la date de début de l’incapacité de travail de la recourante, l’experte indique que le trouble « est présent au minimum depuis octobre 2018, date du début du suivi chez le Dr E______ » (point. 4.1.1). Elle évoque ensuite une « amélioration » en février 2019, suivie d’une rechute, sans toutefois préciser si l’amélioration a eu une incidence sur sa capacité de travail. Au point 9.1.2, elle indique que la capacité de travail de 70 % remonte au mois de février 2021 « avec certitude ». Cette réponse est toutefois à mettre en relation avec celle figurant au point 9.4 de son expertise, où l’on peut lire que « depuis le début du suivi chez le Dr E______ », la capacité de travail de la recourante est de 70 %. Il convient donc de retenir que la recourante présente une capacité de travail de 70 % dans une activité adaptée, depuis octobre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