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ATAS/324/2020 vom 30. April 2020</w:t>
      </w:r>
    </w:p>
    <w:p>
      <w:r>
        <w:t>GE Cour de justice, 2020-04-30, FR</w:t>
      </w:r>
    </w:p>
    <w:p>
      <w:r>
        <w:rPr>
          <w:b/>
        </w:rPr>
        <w:t xml:space="preserve">Quelle: </w:t>
      </w:r>
      <w:r>
        <w:t>https://mcp.opencaselaw.ch/entscheid/ge_gerichte_ATAS_324_2020</w:t>
      </w:r>
    </w:p>
    <w:p>
      <w:r>
        <w:t>FR: GE_GERICHTE ATAS/324/2020 du 30 avril 2020</w:t>
      </w:r>
    </w:p>
    <w:p>
      <w:r>
        <w:t>IT: GE_GERICHTE ATAS/324/2020 del 30 aprile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a. 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l’assurance-invalidité [LPFC ; J 4 20] ; art. 43 LPCC). En l’espèce, le recours a été interjeté en temps utile et satisfait aux exigences de forme et de contenu prescrites par la loi (art. 61 let. b LPGA ; art. 89B de la loi sur la procédure administrative du 12 septembre 1985 - LPA ; RS/GE E 5 10). b. Par ailleurs, la recourante a qualité pour recourir, en tant que destinataire de la décision attaquée (art. 59 LPGA) et épouse de l'ayant droit aux prestations complémentaires (arrêt du Tribunal fédéral 9C_301/2016 du 25 janvier 2017 consid. 3.2). Partant, le recours est recevable.</w:t>
      </w:r>
    </w:p>
    <w:p>
      <w:r>
        <w:t>_____________________________________________________________________________________</w:t>
      </w:r>
    </w:p>
    <w:p>
      <w:r>
        <w:t>A/652/2019 - 8/17 -</w:t>
      </w:r>
    </w:p>
    <w:p>
      <w:r>
        <w:rPr>
          <w:b/>
        </w:rPr>
        <w:t>E. 4</w:t>
      </w:r>
    </w:p>
    <w:p>
      <w:r>
        <w:t>La CJCAS a suspendu la procédure, après avoir appris que l’assuré – lequel avait déposé la demande de prestations complémentaires – était décédé le _______2019. La CJCAS a subséquemment repris la procédure, après avoir été informée que l’assuré avait institué pour seule héritière son épouse, à savoir la recourante, déjà partie à la procédure. C’est le lieu de rappeler que lorsqu'une partie décède pendant le déroulement de l'instance, les héritiers prennent de plein droit la place du défunt au procès (art. 560 CC; arrêt du Tribunal fédéral 4A_215/2009 du 6 août 2009 consid. 3.1), étant précisé que jusqu'à la déclaration d'acceptation ou l'échéance du délai de répudiation, l'acquisition de la succession est subordonnée à une condition résolutoire (arrêt 9C_946/2012 du 10 juillet 2013). La qualité d'héritier n'est établie définitivement qu'après l'acceptation expresse de la succession ou l'écoulement du délai de répudiation lorsqu'il n'a pas été fait usage de celui-ci. Aussi, pour cette raison, l'art. 6 al. 2 PCF (RS 273), applicable par le renvoi de l'art. 71 LTF, prévoit la suspension du procès de plein droit en cas de décès d'une partie. La législation cantonale contient une norme similaire (art. 78 let. b LPA, en relation avec l'art. 89A LPA). La reprise du procès est ordonnée dès que la succession ne peut plus être répudiée ou que la liquidation officielle a été instituée. La reprise anticipée de procès urgents par le représentant de la succession est réservée (art. 6 al. 3 PCF).</w:t>
      </w:r>
    </w:p>
    <w:p>
      <w:r>
        <w:rPr>
          <w:b/>
        </w:rPr>
        <w:t>E. 5</w:t>
      </w:r>
    </w:p>
    <w:p>
      <w:r>
        <w:t>Le litige porte sur la prise en compte par le SPC de biens dessaisis dans le calcul du droit aux prestations complémentaires de la recourante et de feu son époux.</w:t>
      </w:r>
    </w:p>
    <w:p>
      <w:r>
        <w:rPr>
          <w:b/>
        </w:rPr>
        <w:t>E. 6</w:t>
      </w:r>
    </w:p>
    <w:p>
      <w:r>
        <w:t>a. En vertu de l'art. 4 al. 1 let. a et c LPC, les personnes qui ont leur domicile et leur résidence habituelle en Suisse ont droit à des prestations complémentaires fédérales, dès lors qu'elles perçoivent une rente de vieillesse de l’assurance- vieillesse et survivants, ou ont droit à une rente ou à une allocation pour impotent de l’assurance-invalidité.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 un quinzième de la fortune nette, respectivement un dixième de la fortune nette pour les bénéficiaires de rentes de vieillesse, dans la mesure où elle dépasse CHF 37'500.- pour les personnes seules et CHF 60'000.- pour les couples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 les rentes de l’AVS et de l’AI (let. d) ; les ressources et parts de fortune dont un ayant droit s’est dessaisi (let. g).</w:t>
      </w:r>
    </w:p>
    <w:p>
      <w:r>
        <w:t>_____________________________________________________________________________________</w:t>
      </w:r>
    </w:p>
    <w:p>
      <w:r>
        <w:t>A/652/2019 - 9/17 - L’art. 11 al. 1bis LPC prescrit qu’en dérogation à l’art. 1, let. c, seule la valeur de l’immeuble supérieure à 300 000 francs entre en considération au titre de la fortune lorsque, notamment, un couple possède un immeuble qui sert d’habitation à l’un des conjoints tandis que l’autre vit dans un home ou dans un hôpital (let. a). c. L’art. 10 al. 1 let. a LPC, prévoit, pour les personnes vivant à domicile, que les dépenses reconnues comprennent les montants destinés à la couverture des besoins vitaux, soit, par année CHF 19'210.- pour les personnes seules (ch. 1). Selon la let. b de cette disposition, les dépenses reconnues comprennent en outre le loyer d’un appartement et les frais accessoires y relatifs; le montant annuel maximal reconnu est de CHF 13'200.- pour les personnes seules (ch. 1). L’art. 10 al. 2 LPC prescrit, pour les personnes qui vivent en permanence ou pour une longue période dans un home ou dans un hôpital, que les dépenses reconnues comprennent la taxe journalière (let. a) et un montant, arrêté par les cantons, pour les dépenses personnelles (let. b).</w:t>
      </w:r>
    </w:p>
    <w:p>
      <w:r>
        <w:rPr>
          <w:b/>
        </w:rPr>
        <w:t>E. 7</w:t>
      </w:r>
    </w:p>
    <w:p>
      <w:r>
        <w:t>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w:t>
      </w:r>
    </w:p>
    <w:p>
      <w:r>
        <w:t>_____________________________________________________________________________________</w:t>
      </w:r>
    </w:p>
    <w:p>
      <w:r>
        <w:t>A/652/2019 - 10/17 -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b.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À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w:t>
      </w:r>
    </w:p>
    <w:p>
      <w:r>
        <w:rPr>
          <w:b/>
        </w:rPr>
        <w:t>E. 8</w:t>
      </w:r>
    </w:p>
    <w:p>
      <w:r>
        <w:t>À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w:t>
      </w:r>
    </w:p>
    <w:p>
      <w:r>
        <w:t>_____________________________________________________________________________________</w:t>
      </w:r>
    </w:p>
    <w:p>
      <w:r>
        <w:t>A/652/2019 - 11/17 -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ATF 108 V 229 consid. 2 ; arrêt du Tribunal fédéral des assurances P 59/02 du 28 août 2003 consid. 3.3 et les références).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 valeur correspondante (arrêt du Tribunal fédéral 9C_945/2011 du 11 juillet 2012 consid. 6.2).</w:t>
      </w:r>
    </w:p>
    <w:p>
      <w:r>
        <w:rPr>
          <w:b/>
        </w:rPr>
        <w:t>E. 10</w:t>
      </w:r>
    </w:p>
    <w:p>
      <w:r>
        <w:t>En l’espèce, dans sa décision sur opposition datée du 22 janvier 2019, l’intimé a considéré que la recourante et feu son époux s’étaient dessaisis de CHF 205'351.- en 2014 et de CHF 21'250.- en 2017, montants correspondant respectivement à un capital versé par C_______ et à une part d’héritage. Il a déduit de ces chiffres un amortissement annuel de CHF 10'000.-, ce qui l’a conduit à retenir dans ses calculs des « biens dessaisis » à hauteur de CHF 196'601.- pour l’assuré dès le 1er mars 2018 et, dès le 1er juin 2018, de CHF 98'300.- pour chaque conjoint. De son côté, la recourante conteste la prise en compte des biens dessaisis et soutient qu’elle a fourni les justificatifs requis. Elle se réfère notamment à un courrier daté du 17 mai 2018, dans lequel son époux a écrit : « je déclare sur l’honneur que la somme de C_______ 3A a servi à mon entretien personnel et à celui de ma femme, n’a pas été donné à des tierces personnes (au-delà des cadeaux d’usages). Il a servi principalement à payer des factures courantes, dont : assurer mon train de vie usuel d’avant mon accident (qui m’a privé du jour au lendemain d’une activité et des revenus d’un cabinet de dentiste privé) ; payer la part des frais médicaux et d’aménagement du quotidien non pris en charge par les assurances maladies et les</w:t>
      </w:r>
    </w:p>
    <w:p>
      <w:r>
        <w:t>_____________________________________________________________________________________</w:t>
      </w:r>
    </w:p>
    <w:p>
      <w:r>
        <w:t>A/652/2019 - 12/17 - systèmes de remboursements ; m’acquitter de mes obligations légales en tant qu’indépendant (cotisations AVS personnelles et pour ma femme) ». La recourante ajoute qu’il est disproportionné d’exiger la production, plus de cinq ans après les faits, de factures relatives à l’entretien du couple, portant sur de faibles montants. Enfin, elle déclare renoncer à justifier l’utilisation faite de la part d’héritage perçue en 2017, soit CHF 21'250.-.</w:t>
      </w:r>
    </w:p>
    <w:p>
      <w:r>
        <w:rPr>
          <w:b/>
        </w:rPr>
        <w:t>E. 11</w:t>
      </w:r>
    </w:p>
    <w:p>
      <w:r>
        <w:t>a. D'après les documents versés à la procédure, feu B_______ a perçu, le 22 mai 2014, un capital 3ème pilier A de CHF 205'351.- de l’institution de prévoyance C_______. Sur cette somme, il a retiré CHF 22'500.- en espèces le même jour auprès d’un office postal et a versé CHF 170'000.- sur le compte postal de son épouse. Le 31 décembre de la même année, il ne restait plus sur le compte de son épouse qu'un solde de CHF 7'850.40, tandis que son propre compte témoignait d’un solde négatif (CHF -145.66). Il en résulte une diminution de fortune de CHF 197'646.- en sept mois, qui reste très largement inexpliquée en dépit des rares pièces justificatives produites, soit principalement un relevé des comptes postaux des deux époux. La recourante, qui se prévaut de la déclaration « sur l’honneur » rédigée par feu son époux, affirme que cette somme aurait été dépensée pour couvrir l’entretien du couple et payer les factures courantes. Elle ne produit toutefois aucune facture qui serait susceptible d’étayer ses explications. En outre, on observe que selon les relevés de comptes versés à la procédure, la recourante a retiré en espèces des sommes très importantes pendant les sept derniers mois de l’année 2014, à concurrence de CHF 61'400.- (CHF 19'900.- en juin ; CHF 2'000.- en juillet ; CHF 2'000.- en août ; CHF 6'000.- en septembre ; CHF 15'000.- en octobre ; CHF 11'000.- en novembre et CHF 5'500.- en décembre), auxquelles il faut encore ajouter les CHF 22'500.- retirés par son époux. Cela correspond à des retraits en espèces totaux de CHF 83'900.- en sept mois. Par ailleurs, durant la même période, la recourante a effectué depuis son compte postal divers versements dont on ignore les destinataires, pour un total de CHF 76'726.- (CHF 4'906.15 en juin ; CHF 13'967.15 en juillet ; CHF 3'927.50 en août ; CHF 21'256.90 en septembre ; CHF 10'574.10 en octobre ; CHF 9'558.95 en novembre et CHF 12'535.25 en décembre). Or, on voit mal que la recourante soit dans l'impossibilité de fournir des justificatifs et une explication vraisemblable à des dépenses de plus de CHF 160'000.- durant les sept derniers mois de l’année 2014 (CHF 83'900.- + CHF 76'726.- =CHF 160'626.-). Dans son recours, la recourante allègue, de manière vague, que ces dépenses résulteraient notamment du délai d’attente ayant séparé l’accident de la reconnaissance par l’assurance-invalidité du « statut d’invalide » de son mari. Cette explication ne convainc guère, dès lors qu’en 2014, l’assuré était déjà au bénéfice de rentes de l’assurance-accidents et de l’assurance-invalidité, de sorte qu’il n’était de toute évidence pas nécessaire de puiser dans la fortune pour couvrir les charges du ménage. À défaut de preuve contraire, il convient d'admettre que les dépenses précitées correspondent à un dessaisissement de fortune sans contre-prestation</w:t>
      </w:r>
    </w:p>
    <w:p>
      <w:r>
        <w:t>_____________________________________________________________________________________</w:t>
      </w:r>
    </w:p>
    <w:p>
      <w:r>
        <w:t>A/652/2019 - 13/17 - équivalente (arrêt du Tribunal fédéral des assurances P 59/02 du 28 août 2003 consid. 4 ; ATAS/306/2018 du 11 avril 2018 consid. 10). Il en va de même du montant de CHF 21'250.-, dont le couple s’est dessaisi en 2017 et pour lequel la recourante a refusé de se justifier, arguant que la demande formulée en ce sens par le SPC lui paraissait empreinte de mauvaise foi. À ce propos, on rappellera que, dans le régime des prestations complémentaires, un assuré, qui ne peut prouver que ses dépenses ont été effectuées moyennant contre-prestation adéquate, ne peut se prévaloir d'une baisse correspondante de sa fortune ; il doit donc accepter que l'administration s'enquière des motifs de cette baisse et, à défaut de preuve, qu'elle tienne compte d'une fortune hypothétique (arrêts du Tribunal fédéral des assurances P 27/93 du 15 mars 1994 consid. 4b in VSI 1994 p. 222 et P 4/05 du 29 août 2005 consid. 5.3.2). C’est dès lors à juste titre que le SPC a tenu compte des dessaisissements intervenus en 2014 et en 2017 dans le calcul du droit aux prestations complémentaires, moyennant une réduction annuelle de CHF 10'000.- des montants dessaisis, conformément à l'art. 17a OPC-AVS/AI. b. Au surplus, il convient de préciser que, même si l’on voulait faire abstraction des dessaisissements de fortune dans le calcul du droit aux prestations complémentaires, comme le voudrait la recourante, cela ne changerait pratiquement rien à l’issue de la cause, puisque, même dans cette hypothèse-là, les revenus déterminants des conjoints excéderaient encore leurs dépenses reconnues (sous réserve d’un infime excédent de dépenses pour feu B_______ entre juillet et octobre 2018). En effet, si l’on voulait supprimer les postes « biens dessaisis » et « prod. hypot. biens dessaisis » des plans de calcul du SPC et que l’on ajustait en conséquence le montant de la fortune à prendre en considération (tout en conservant les autres éléments du calcul, qui sont incontestés), l’on parviendrait aux résultats suivants : B_______ – période du 1er mars au 31 mai 2018 REVENUS DETERMINANTS</w:t>
      </w:r>
    </w:p>
    <w:p>
      <w:r>
        <w:t>PCF PCC PRESTATIONS DE L'AVS/AI 21'888 21’888 - rentes de l'AVS/AI 21’888</w:t>
      </w:r>
    </w:p>
    <w:p>
      <w:r>
        <w:t>FORTUNE 44’011 82'520 - épargne 7’667</w:t>
      </w:r>
    </w:p>
    <w:p>
      <w:r>
        <w:t>- demeure personnelle 950'000</w:t>
      </w:r>
    </w:p>
    <w:p>
      <w:r>
        <w:t>- hypothèque -125'000</w:t>
      </w:r>
    </w:p>
    <w:p>
      <w:r>
        <w:t>PRODUIT DE LA FORTUNE 18'798 18'798 - valeur locative 18'798</w:t>
      </w:r>
    </w:p>
    <w:p>
      <w:r>
        <w:t>RENTES, INDEMNITES ET PENSIONS 34'908 34'908 - rente accident 34'908</w:t>
      </w:r>
    </w:p>
    <w:p>
      <w:r>
        <w:t>- allocation d’impotence LAA 29'232</w:t>
      </w:r>
    </w:p>
    <w:p>
      <w:r>
        <w:t>Total revenu déterminant 119'605 158'114 Total dépenses reconnues 47'654 61'060 Revenu déterminant - dépenses reconnues 71'951 97'054</w:t>
      </w:r>
    </w:p>
    <w:p>
      <w:r>
        <w:t>_____________________________________________________________________________________</w:t>
      </w:r>
    </w:p>
    <w:p>
      <w:r>
        <w:t>A/652/2019 - 14/17 - B_______ – période du 1er au 30 juin 2018 REVENUS DETERMINANTS</w:t>
      </w:r>
    </w:p>
    <w:p>
      <w:r>
        <w:t>PCF PCC PRESTATIONS DE L'AVS/AI 10'944 10'944 - rentes de l'AVS/AI partagées 21’888</w:t>
      </w:r>
    </w:p>
    <w:p>
      <w:r>
        <w:t>FORTUNE 15'756 29’542 - épargne partagée 7’667</w:t>
      </w:r>
    </w:p>
    <w:p>
      <w:r>
        <w:t>- demeure personnelle partagée 950'000</w:t>
      </w:r>
    </w:p>
    <w:p>
      <w:r>
        <w:t>- hypothèque partagée -125'000</w:t>
      </w:r>
    </w:p>
    <w:p>
      <w:r>
        <w:t>RENTES, INDEMNITES ET PENSIONS 46’686 46’686 - rente accident partagée 34'908</w:t>
      </w:r>
    </w:p>
    <w:p>
      <w:r>
        <w:t>- allocation d’impotence LAA 29'232</w:t>
      </w:r>
    </w:p>
    <w:p>
      <w:r>
        <w:t>PARTICIP. ASS. MALADIE 31'248 31'248 31'248 Total revenu déterminant 104’634 118’420 Total dépenses reconnues 85’107 85’107 Revenu déterminant - dépenses reconnues 19’527 33’313</w:t>
      </w:r>
    </w:p>
    <w:p>
      <w:r>
        <w:t>B_______ – période du 1er au 30 juin 2018 REVENUS DETERMINANTS</w:t>
      </w:r>
    </w:p>
    <w:p>
      <w:r>
        <w:t>PCF PCC PRESTATIONS DE L'AVS/AI 10'944 10'944 - rentes de l'AVS/AI partagées 21’888</w:t>
      </w:r>
    </w:p>
    <w:p>
      <w:r>
        <w:t>FORTUNE 15'756 29'542 - épargne partagée 7’667</w:t>
      </w:r>
    </w:p>
    <w:p>
      <w:r>
        <w:t>- demeure personnelle partagée 950'000</w:t>
      </w:r>
    </w:p>
    <w:p>
      <w:r>
        <w:t>- hypothèque partagée -125'000</w:t>
      </w:r>
    </w:p>
    <w:p>
      <w:r>
        <w:t>PRODUIT DE LA FORTUNE 18'798 18'798 - valeur locative 18'798</w:t>
      </w:r>
    </w:p>
    <w:p>
      <w:r>
        <w:t>RENTES, INDEMNITES ET PENSIONS 17’454 17’454 - rente accident partagée 34'908</w:t>
      </w:r>
    </w:p>
    <w:p>
      <w:r>
        <w:t>Total revenu déterminant 62'952 76'738 Total dépenses reconnues 38’652 45’023 Revenu déterminant - dépenses reconnues 24’300 31'715</w:t>
      </w:r>
    </w:p>
    <w:p>
      <w:r>
        <w:t>B_______ – période du 1er juillet au 31 octobre 2018 REVENUS DETERMINANTS</w:t>
      </w:r>
    </w:p>
    <w:p>
      <w:r>
        <w:t>PCF PCC PRESTATIONS DE L'AVS/AI 10'944 10'944 - rentes de l'AVS/AI partagées 21’888</w:t>
      </w:r>
    </w:p>
    <w:p>
      <w:r>
        <w:t>FORTUNE 15'756 29’542 - épargne partagée 7’667</w:t>
      </w:r>
    </w:p>
    <w:p>
      <w:r>
        <w:t>- demeure personnelle partagée 950'000</w:t>
      </w:r>
    </w:p>
    <w:p>
      <w:r>
        <w:t>- hypothèque partagée -125'000</w:t>
      </w:r>
    </w:p>
    <w:p>
      <w:r>
        <w:t>RENTES, INDEMNITES ET PENSIONS 55'456 55’456 - prest. périodiques partagées 17'539</w:t>
      </w:r>
    </w:p>
    <w:p>
      <w:r>
        <w:t>- rente accident partagée 34'908</w:t>
      </w:r>
    </w:p>
    <w:p>
      <w:r>
        <w:t>- allocation d’impotence LAA 29'232</w:t>
      </w:r>
    </w:p>
    <w:p>
      <w:r>
        <w:t>_____________________________________________________________________________________</w:t>
      </w:r>
    </w:p>
    <w:p>
      <w:r>
        <w:t>A/652/2019 - 15/17 - Total revenu déterminant 82'156 95’942 Total dépenses reconnues 85’107 85’107 Revenu déterminant - dépenses reconnues -2’951 10’835</w:t>
      </w:r>
    </w:p>
    <w:p>
      <w:r>
        <w:t>B_______ – période du 1er juillet au 31 octobre 2018 REVENUS DETERMINANTS</w:t>
      </w:r>
    </w:p>
    <w:p>
      <w:r>
        <w:t>PCF PCC PRESTATIONS DE L'AVS/AI 10'944 10'944 - rentes de l'AVS/AI partagées 21’888</w:t>
      </w:r>
    </w:p>
    <w:p>
      <w:r>
        <w:t>FORTUNE 15'756 29'542 - épargne partagée 7’667</w:t>
      </w:r>
    </w:p>
    <w:p>
      <w:r>
        <w:t>- demeure personnelle partagée 950'000</w:t>
      </w:r>
    </w:p>
    <w:p>
      <w:r>
        <w:t>- hypothèque partagée -125'000</w:t>
      </w:r>
    </w:p>
    <w:p>
      <w:r>
        <w:t>PRODUIT DE LA FORTUNE 18'798 18'798 - valeur locative 18'798</w:t>
      </w:r>
    </w:p>
    <w:p>
      <w:r>
        <w:t>RENTES, INDEMNITES ET PENSIONS 26'224 26'224 - rente accident partagée 34'908</w:t>
      </w:r>
    </w:p>
    <w:p>
      <w:r>
        <w:t>- indemnités de chômage partagées 17'539</w:t>
      </w:r>
    </w:p>
    <w:p>
      <w:r>
        <w:t>Total revenu déterminant 71’722 85’508 Total dépenses reconnues 38’652 45’023 Revenu déterminant - dépenses reconnues 33’070 40’485</w:t>
      </w:r>
    </w:p>
    <w:p>
      <w:r>
        <w:t>B_______ – période du 1er novembre au 31 décembre 2018 REVENUS DETERMINANTS</w:t>
      </w:r>
    </w:p>
    <w:p>
      <w:r>
        <w:t>PCF PCC PRESTATIONS DE L'AVS/AI 10'944 10'944 - rentes de l'AVS/AI partagées 21’888</w:t>
      </w:r>
    </w:p>
    <w:p>
      <w:r>
        <w:t>FORTUNE 23’633 47’267 - épargne partagée 7’667</w:t>
      </w:r>
    </w:p>
    <w:p>
      <w:r>
        <w:t>- demeure personnelle partagée 950'000</w:t>
      </w:r>
    </w:p>
    <w:p>
      <w:r>
        <w:t>- hypothèque partagée -125'000</w:t>
      </w:r>
    </w:p>
    <w:p>
      <w:r>
        <w:t>RENTES, INDEMNITES ET PENSIONS 55'456 55’456 - prest. périodiques partagées 17'539</w:t>
      </w:r>
    </w:p>
    <w:p>
      <w:r>
        <w:t>- rente accident partagée 34'908</w:t>
      </w:r>
    </w:p>
    <w:p>
      <w:r>
        <w:t>- allocation d’impotence LAA 29'232</w:t>
      </w:r>
    </w:p>
    <w:p>
      <w:r>
        <w:t>Total revenu déterminant 90’033 113’667 Total dépenses reconnues 82’805 82’805 Revenu déterminant - dépenses reconnues 7’228 30’862</w:t>
      </w:r>
    </w:p>
    <w:p>
      <w:r>
        <w:t>B_______ – période du 1er novembre au 31 décembre 2018 REVENUS DETERMINANTS</w:t>
      </w:r>
    </w:p>
    <w:p>
      <w:r>
        <w:t>PCF PCC PRESTATIONS DE L'AVS/AI 10'944 10'944 - rentes de l'AVS/AI partagées 21’888</w:t>
      </w:r>
    </w:p>
    <w:p>
      <w:r>
        <w:t>FORTUNE 23’633 47’267 - épargne partagée 7’667</w:t>
      </w:r>
    </w:p>
    <w:p>
      <w:r>
        <w:t>- demeure personnelle partagée 950'000</w:t>
      </w:r>
    </w:p>
    <w:p>
      <w:r>
        <w:t>_____________________________________________________________________________________</w:t>
      </w:r>
    </w:p>
    <w:p>
      <w:r>
        <w:t>A/652/2019 - 16/17 - - hypothèque partagée -125'000</w:t>
      </w:r>
    </w:p>
    <w:p>
      <w:r>
        <w:t>PRODUIT DE LA FORTUNE 18'798 18'798 - valeur locative 18'798</w:t>
      </w:r>
    </w:p>
    <w:p>
      <w:r>
        <w:t>RENTES, INDEMNITES ET PENSIONS 26'224 26'224 - rente accident partagée 34'908</w:t>
      </w:r>
    </w:p>
    <w:p>
      <w:r>
        <w:t>- indemnités de chômage partagées 17'539</w:t>
      </w:r>
    </w:p>
    <w:p>
      <w:r>
        <w:t>Total revenu déterminant 79’599 103’233 Total dépenses reconnues 38’652 45’023 Revenu déterminant - dépenses reconnues 40’947 58’210</w:t>
      </w:r>
    </w:p>
    <w:p>
      <w:r>
        <w:rPr>
          <w:b/>
        </w:rPr>
        <w:t>E. 12</w:t>
      </w:r>
    </w:p>
    <w:p>
      <w:r>
        <w:t>De ce qui précède, il résulte d’une part que l’intimé était légitimé à prendre en considération les dessaisissements de fortune opérés par la recourante et feu son époux, d’autre part que les revenus déterminants des conjoints excèdent en toute hypothèse leurs dépenses reconnues, comme cela vient d’être exposé. La décision attaquée se révèle donc conforme au droit et le recours mal fondé.</w:t>
      </w:r>
    </w:p>
    <w:p>
      <w:r>
        <w:rPr>
          <w:b/>
        </w:rPr>
        <w:t>E. 13</w:t>
      </w:r>
    </w:p>
    <w:p>
      <w:r>
        <w:t>La procédure est gratuite (art. 61 let. a et g LPGA ; art. 89H LPA). ******</w:t>
      </w:r>
    </w:p>
    <w:p>
      <w:r>
        <w:t>_____________________________________________________________________________________</w:t>
      </w:r>
    </w:p>
    <w:p>
      <w:r>
        <w:t>A/652/2019 - 17/17 -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