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ATAS/324/2019 vom 17. April 2019</w:t>
      </w:r>
    </w:p>
    <w:p>
      <w:r>
        <w:t>GE Cour de justice, 2019-04-17, FR</w:t>
      </w:r>
    </w:p>
    <w:p>
      <w:r>
        <w:rPr>
          <w:b/>
        </w:rPr>
        <w:t xml:space="preserve">Quelle: </w:t>
      </w:r>
      <w:r>
        <w:t>https://mcp.opencaselaw.ch/entscheid/ge_gerichte_ATAS_324_2019</w:t>
      </w:r>
    </w:p>
    <w:p>
      <w:r>
        <w:t>FR: GE_GERICHTE ATAS/324/2019 du 17 avril 2019</w:t>
      </w:r>
    </w:p>
    <w:p>
      <w:r>
        <w:t>IT: GE_GERICHTE ATAS/324/2019 del 17 aprile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sur les prestations fédérales complémentaires à l’assurance-vieillesse et survivants et à l’assurance-invalidité, du 14 octobre 1965 [LPFC; RS/GE J 4 20]; art. 43 LPCC ; art. 61 let. b LPGA).</w:t>
      </w:r>
    </w:p>
    <w:p>
      <w:r>
        <w:rPr>
          <w:b/>
        </w:rPr>
        <w:t>E. 3</w:t>
      </w:r>
    </w:p>
    <w:p>
      <w:r>
        <w:t>a. L’objet du litige dans la procédure administrative est le rapport juridique qui – dans le cadre de l’objet de la contestation déterminé par la décision – constitue, d’après les conclusions du recours, l’objet de la décision effectivement attaqué (ATF 125 V 414 consid. 1b et 2 et les références citées).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b. En l’espèce, le litige porte sur le montant demandé en restitution par l'intimé au recourant et celui des prestations complémentaires du 1er juillet 2011 au 31 janvier 2017 et dès le 1er février 2017 ; plus particulièrement, sur la valeur du bien immobilier en Espagne à prendre en compte par l'intimé (estimation et taux de change) et le nombre d'années sur lequel porte la demande de restitution. Le litige ne porte pas sur la prise en compte de l’expertise du 28 mars 2018 sur le droit aux prestations du recourant dès janvier 2018, qui doit faire l’objet d’une nouvelle décision.</w:t>
      </w:r>
    </w:p>
    <w:p>
      <w:r>
        <w:rPr>
          <w:b/>
        </w:rPr>
        <w:t>E. 4</w:t>
      </w:r>
    </w:p>
    <w:p>
      <w:r>
        <w:t>a. Sur le plan fédéral, les personnes qui ont leur domicile et leur résidence habituelle en Suisse et qui remplissent les conditions personnelles prévues aux art. 4, 6 et 8 LPC ont droit à des prestations complémentaires.</w:t>
      </w:r>
    </w:p>
    <w:p>
      <w:r>
        <w:t>A/1054/2018 - 13/20 -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un quinzième de la fortune nette, dans la mesure où elle dépasse CHF 37’500.-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ressources et parts de fortune dont un ayant droit s'est dessaisi (let. g).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La notion englobe le produit transférable en Suisse d’une fortune qui se trouve à l’étranger (ch. 3431.01 DPC). En vertu de l'art. 17 de l’ordonnance sur les prestations complémentaires à l'assurance-vieillesse, survivants et invalidité, du 15 janvier 1971 (OPC-AVS/AI – RS 831.301),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w:t>
      </w:r>
    </w:p>
    <w:p>
      <w:r>
        <w:t>A/1054/2018 - 14/20 - Si la valeur actuelle (valeur du marché) d’un immeuble à l’étranger n’est pas connue, on peut se fonder sur une estimation établie à l’étranger s’il n’est pas raisonnablement possible de procéder à une autre estimation (arrêt du Tribunal fédéral 9C_540/2009 du 17 septembre 2009; ATAS/40/2018; ch. 3444.03 DPC). Dans un arrêt du 29 mars 2018 (ATAS/319/2018), la chambre de céans a jugé que le SPC ne pouvait se contenter d'une estimation de la valeur du bien immobilier effectuée le 15 septembre 2016, soit près de sept ans plus tard et qu'il aurait dû requérir une estimation de la valeur du marché du bien immobilier en 2009 ainsi que la variation de cette valeur pour les années suivantes. La recourante était invitée, comme le lui avait demandé l’intimé par courrier du 5 août 2016, à lui transmettre l’estimation officielle de la valeur vénale du bien immobilier, au 31 décembre 2012, 31 décembre 2013, 31 décembre 2014, et 31 décembre 2015, conformément à son obligation de collaborer (art. 28 al. 2 LPGA). b.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c. Pour déterminer le taux de conversion applicable pour le calcul de la fortune immobilière et de la valeur locative y relative, il y a lieu d’appliquer les DPC. Depuis le 1er janvier 2013, les DPC prévoient que pour les rentes et pensions versées en devises d’États parties à l’accord sur la libre circulation des personnes CH-UE ou à la Convention AELE, le cours de conversion applicable est celui du jour publié par la Banque centrale européenne. Est déterminant le premier cours du jour disponible du mois qui précède immédiatement le début du droit à la prestation (ch. 3452.01 des DPC). Bien que ces directives concernent les rentes, elles sont applicables mutatis mutandis aux autres éléments libellés en monnaie étrangère composant les revenus déterminants tels que la fortune immobilière (ATAS/131/2017 du 21 février 2017 consid. 9d; ATAS/1290/2013 du 20 décembre 2013 consid. 10). La période de référence demeure l’année civile, de sorte que le taux retenu reste le même pour l’année considérée, sauf modification sensible de ce taux en cours d’année (ATAS/34/2017 du 23 janvier 2017).</w:t>
      </w:r>
    </w:p>
    <w:p>
      <w:r>
        <w:rPr>
          <w:b/>
        </w:rPr>
        <w:t>E. 5</w:t>
      </w:r>
    </w:p>
    <w:p>
      <w:r>
        <w:t>a. Selon l'art. 25 al. 1 phr. 1 LPGA, en relation avec l'art. 2 al. 1 let. a de l'ordonnance sur la partie générale du droit des assurances sociales du 11 septembre</w:t>
      </w:r>
    </w:p>
    <w:p>
      <w:r>
        <w:t>A/1054/2018 - 15/20 - 2002 (OPGA ; RS 830.11), les prestations complémentaires fédérales indûment touchées doivent être restituées par le bénéficiaire ou par ses héritiers. L'administration est tenue de procéder à une révision de sa décision, lorsque sont découverts des faits nouveaux ou de nouveaux moyens de preuve susceptibles de conduire à une appréciation juridique différente (ATF 122 V 19 consid. 3a; ATF 122 V 134 consid. 2c; ATF 122 V 169 V consid. 4a;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d.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w:t>
      </w:r>
    </w:p>
    <w:p>
      <w:r>
        <w:t>A/1054/2018 - 16/20 -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arrêt du Tribunal fédéral 8C_592/2007 du 20 août 2008 consid. 5.3).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phr. 1 LPGA (ATF 138 V 74 consid. 7; arrêt du Tribunal fédéral 8C_592/2007 du 10 août 2008 consid. 5.3). L’art. 31 al. 1 let. d LPC – également applicable en matière de prestations complémentaires cantonales conformément à l’art. 1A LPCC – prévoit que celui qui manque à son obligation de communiquer au sens de l’art. 31 al. 1 LPGA, est puni d’une peine pécuniaire n’excédant pas 180 jours-amende. Selon l’art. 31 al. 1 LPGA, l’ayant droit, ses proches ou les tiers auxquels une prestation est versée sont tenus de communiquer à l’assureur ou, selon le cas, à l’organe compétent, toute modification importante des circonstances déterminantes pour l’octroi d’une prestation. Selon l’art. 30 OPC-AVS/AI, les services chargés de fixer et de verser les prestations complémentaires doivent réexaminer périodiquement, mais tous les quatre ans au moins, les conditions économiques de leurs bénéficiaires (cf. également l’art. 13 LPCC).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t>A/1054/2018 - 17/20 -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Le Tribunal fédéral a estimé qu'un bénéficiaire, en omettant d'annoncer l'existence d'un héritage perçu par son épouse, avait commis, par dol éventuel, l'infraction réprimée à l'art. 31 al. 1 LPC. On ne pouvait retenir l'argument selon lequel les documents remis au bénéficiaire ne semblaient viser que sa propre situation et non celle de son épouse (ATF 140 IV 206).</w:t>
      </w:r>
    </w:p>
    <w:p>
      <w:r>
        <w:rPr>
          <w:b/>
        </w:rPr>
        <w:t>E. 6</w:t>
      </w:r>
    </w:p>
    <w:p>
      <w:r>
        <w:t>a. En l'espèce, la pièce du 22 février 2017 attestant d'une valeur du bien immobilier, en 2011, de EUR 24'998.85, dont se prévaut le recourant, n’est pas pertinente pour établir la valeur vénale de son bien, dès lors qu'il s'agit d'une valeur fiscale, qui est notoirement moins élevée qu'une valeur vénale. L’intimé pouvait se fonder sur l’estimation de la valeur vénale de son bien du 12 décembre 2016 produite par le recourant lui-même pour fixer la valeur vénale de l'immeuble cette année-là. Aucun élément au dossier ne remet sérieusement en cause la valeur de cette estimation. Dans la mesure où le recourant fait valoir que la</w:t>
      </w:r>
    </w:p>
    <w:p>
      <w:r>
        <w:t>A/1054/2018 - 18/20 - valeur de son bien a varié dans le temps, la nouvelle estimation de 2018 ne paraît pas plus fiable s’agissant de déterminer une valeur en 2016. En revanche, on peut reprocher à l’intimé de ne pas avoir attiré l’attention du recourant sur le fait que la valeur de l’immeuble serait prise en compte sur plusieurs années, en l’occurrence de 2011 à 2017, et qu’il devait faire porter l'expertise sur l’évolution de la valeur vénale du bien dans le temps s’il estimait qu’elle s’était modifiée dans le temps. Le recourant s’en prévalant, un délai doit lui être accordé pour le démontrer, conformément la jurisprudence de la chambre de céans (ATAS/319/2018 précité). b. Le recourant conteste les taux de change appliqués par l’intimé. Il ressort de la fiche de calcul du SPC que, contrairement à ce que celui-ci a indiqué dans son courrier du 30 janvier 2017, il n’a pas appliqué les cours de change annuels moyens de chaque année respective, mais le taux de change du dernier jour des périodes de calcul, pour établir les prestations de l'année, en tous les cas pour les années 2013 à 2016. Il aurait dû, en application des DPC, prendre en compte pour ces années, le taux de change du 31 décembre de l’année précédente, soit le premier cours du jour disponible du mois qui précède immédiatement le début du droit à la prestation (ch. 3452.01 DPC). Pour l'année 2017, il a correctement pris en compte le taux au 19 janvier 2017, soit le dernier taux disponible avant la notification de sa décision du 24 janvier 2017. Quant à l'année 2012, il aurait dû prendre le taux au 30 juin 2012, dès lors qu'il a repris le calcul des prestations dès le 1er juillet 2012. c. La décision en restitution est motivée par le fait que le recourant est propriétaire d’un bien immobilier depuis 1995, ce dont le SPC n’avait pas tenu compte jusqu'alors. Il s'agit là d’un fait nouveau permettant la révision d’une décision. Les conditions pour exiger la restitution des prestations indûment perçues sont ainsi remplies. d. Le contrôle du dossier du recourant a été initié le 9 septembre 2016. L’intimé a appris le 4 novembre 2016 que le recourant était propriétaire d’un immeuble. Le 23 novembre 2016, il lui a demandé de lui transmettre une évaluation de la valeur vénale actuelle du bien. Il a reçu cette évaluation de l'intéressé le 19 janvier 2017, puis il a adressé ses demandes de restitution à l'intéressé le 30 novembre 2017. Il a ainsi agi dans le délai de péremption d'un an, lequel démarrait à partir du moment où l'intimé avait reçu l'évaluation de la valeur vénale du bien à l'étranger lui permettant d'établir les nouveaux calculs. e. En ne déclarant pas au SPC son bien immobilier détenu en Espagne, le recourant a réalisé les conditions de l'infraction réprimée à l'art. 31 al. 1 let. d LPC. Il ne pouvait ignorer que les biens immobiliers sis à l'étranger étaient également pertinents pour le calcul des prestations complémentaires, ayant été interrogé spécifiquement sur cette question par le SPC, lors de sa demande de prestations, dans le formulaire relatif aux biens immobiliers. Or, il a déclaré dans ce formulaire, le 28 août 2012, ne pas posséder de bien immobilier à l’étranger, alors qu'il était déjà propriétaire de son bien, à Grenade. Il a ensuite reçu les communications adressées par l'intimé en décembre de chaque année, qui lui demandaient de vérifier</w:t>
      </w:r>
    </w:p>
    <w:p>
      <w:r>
        <w:t>A/1054/2018 - 19/20 - si les éléments retenus pour le calcul des prestations étaient corrects, mais il ne s'est pas manifesté à réception de ces courriers. Il a ainsi, à tout le moins par dol éventuel, dissimulé une part de sa fortune et maintenu l'intimé dans l'erreur. Le délai de péremption de sept ans est par conséquent applicable. Dans la mesure où les engagements pris par le DEAS envers le recourant ne portaient que sur une poursuite pénale, ils ne liaient pas l’intimé, chargé d’appliquer la loi en matière de prestations complémentaires. Son activité relève du droit administratif, quand bien même celui-ci fait référence à une disposition du droit pénal. Il convient de rappeler à cet égard que la demande de restitution n'a pas pour fonction de sanctionner, mais de rétablir une situation conforme au droit, et que pour que le délai de péremption plus long prévu par le droit pénal s’applique, il n’est pas nécessaire que l’auteur de l’infraction ait été condamné pénalement. f. Dans sa duplique du 13 août 2018, l’intimé a constaté que la valeur du bien immobilier retenue pour 2016 comportait effectivement une erreur dans la décision de prestations complémentaires du 24 janvier 2017 et il a accepté de prendre en considération le montant forfaitaire afférent aux frais d’entretien du bâtiment. Il convient d'en prendre acte.</w:t>
      </w:r>
    </w:p>
    <w:p>
      <w:r>
        <w:rPr>
          <w:b/>
        </w:rPr>
        <w:t>E. 7</w:t>
      </w:r>
    </w:p>
    <w:p>
      <w:r>
        <w:t>Au vu des considérations qui précèdent, la décision querellée sera annulée et la cause renvoyée au SPC pour nouvelle décision au sens des considérants.</w:t>
      </w:r>
    </w:p>
    <w:p>
      <w:r>
        <w:rPr>
          <w:b/>
        </w:rPr>
        <w:t>E. 8</w:t>
      </w:r>
    </w:p>
    <w:p>
      <w:r>
        <w:t>Le recourant obtenant gain de cause et étant assisté d'un conseil, il a droit à des dépens qui seront fixés à CHF 2'000.- (art. 61 let. g LPGA et 89H al. 1 LPA).</w:t>
      </w:r>
    </w:p>
    <w:p>
      <w:r>
        <w:rPr>
          <w:b/>
        </w:rPr>
        <w:t>E. 9</w:t>
      </w:r>
    </w:p>
    <w:p>
      <w:r>
        <w:t>La procédure est gratuite (art. 61 let. a LPGA).</w:t>
      </w:r>
    </w:p>
    <w:p>
      <w:r>
        <w:t>A/1054/2018 - 20/20 -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