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ATAS/324/2018 vom 17. April 2018</w:t>
      </w:r>
    </w:p>
    <w:p>
      <w:r>
        <w:t>GE Cour de justice, 2018-04-17, FR</w:t>
      </w:r>
    </w:p>
    <w:p>
      <w:r>
        <w:rPr>
          <w:b/>
        </w:rPr>
        <w:t xml:space="preserve">Quelle: </w:t>
      </w:r>
      <w:r>
        <w:t>https://mcp.opencaselaw.ch/entscheid/ge_gerichte_ATAS_324_2018</w:t>
      </w:r>
    </w:p>
    <w:p>
      <w:r>
        <w:t>FR: GE_GERICHTE ATAS/324/2018 du 17 avril 2018</w:t>
      </w:r>
    </w:p>
    <w:p>
      <w:r>
        <w:t>IT: GE_GERICHTE ATAS/324/2018 del 17 aprile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force le 1er janvier 2003, est applicable à la présente procédure.</w:t>
      </w:r>
    </w:p>
    <w:p>
      <w:r>
        <w:rPr>
          <w:b/>
        </w:rPr>
        <w:t>E. 3</w:t>
      </w:r>
    </w:p>
    <w:p>
      <w:r>
        <w:t>Le recours, déposé dans les délai et forme prévus par la loi, est recevable (art. 56ss LPGA).</w:t>
      </w:r>
    </w:p>
    <w:p>
      <w:r>
        <w:rPr>
          <w:b/>
        </w:rPr>
        <w:t>E. 4</w:t>
      </w:r>
    </w:p>
    <w:p>
      <w:r>
        <w:t>Le litige porte sur le droit du recourant à des prestations d’invalidité.</w:t>
      </w:r>
    </w:p>
    <w:p>
      <w:r>
        <w:rPr>
          <w:b/>
        </w:rPr>
        <w:t>E. 5</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w:t>
      </w:r>
    </w:p>
    <w:p>
      <w:r>
        <w:t>A/1546/2017 - 20/24 - de la réadaptation poursuivi par l'assurance-invalidité, tant objectivement en ce qui concerne la mesure que sur le plan subjectif en ce qui concerne la personne de l'assuré (VSI 2002 p. 111 consid. 2 et les références). De plus, il faut que l'invalidité soit d'une certaine gravité pour que le droit à des mesures de réadaptation soit ouvert. La jurisprudence a ainsi fixé le seuil d'invalidité à partir duquel des mesures de réadaptation doivent être octroyées à 20 % (ATF 130 V 488 consid. 4.2 ; ATF 124 V 108 consid. 3a).</w:t>
      </w:r>
    </w:p>
    <w:p>
      <w:r>
        <w:rPr>
          <w:b/>
        </w:rPr>
        <w:t>E. 6</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trois-quarts de rente s’il est invalide à 60 % au moins, à une demi-rente s’il est invalide à 50 % au moins ou à un quart de rente s’il est invalide à 40 % au moins.</w:t>
      </w:r>
    </w:p>
    <w:p>
      <w:r>
        <w:rPr>
          <w:b/>
        </w:rPr>
        <w:t>E. 7</w:t>
      </w:r>
    </w:p>
    <w:p>
      <w:r>
        <w:t>a) Pour trancher le droit aux prestations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w:t>
      </w:r>
    </w:p>
    <w:p>
      <w:r>
        <w:t>A/1546/2017 - 21/24 - dossier (anamnèse), que la description des interférences médicales soit claire et enfin que les conclusions de l’expert soient bien motivées (ATF 125 V 351 consid. 3 ;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8</w:t>
      </w:r>
    </w:p>
    <w:p>
      <w:r>
        <w:t>Dans un récent arrêt de principe, le Tribunal fédéral a établi des exigences accrues en matière de participation des assurés lorsqu’une assurance sociale diligente une expertise, eu égard à leur droit d’être entendus. Ces exigences comprennent le droit de se prononcer sur le choix de l'expert, de connaître les questions qui lui seront posées, et d'en formuler d'autres (ATF 137 V 210 consid. 3.2.4.6 et 3.2.4.9). Ces exigences ressortent également des art. 57 ss de la loi sur la procédure civile fédérale (PCF – RS 273), applicables par analogie à la procédure administrative (Marco WEISS, Die Mitwirkungsrechte der Bundeszivilprozessordnung im Sozialversicherungsrecht : aktuelle Entwicklungen in der bundesgerichtlichen Rechtsprechung in AJP 2016 p. 1214). Le fait pour une assurance de ne pas permettre à un assuré d’exercer les prérogatives résultant de son droit d’être entendu, soit en particulier celui de se prononcer sur la nomination de l'expert, sur les questions à poser, ainsi que sur le</w:t>
      </w:r>
    </w:p>
    <w:p>
      <w:r>
        <w:t>A/1546/2017 - 22/24 - résultat de l'expertise, relève d’une grave violation de ce droit (arrêt du Tribunal fédéral des assurances U 22/03 du 10 juillet 2003 consid. 4). Ce vice ne peut être réparé lorsque l'expertise constitue l'élément central et prépondérant de l'instruction (RAMA 2000 n° U 369 p. 104 consid. 2b ; arrêt du Tribunal fédéral des assurances U 265/04 du 23 septembre 2005 consid. 2.3).</w:t>
      </w:r>
    </w:p>
    <w:p>
      <w:r>
        <w:rPr>
          <w:b/>
        </w:rPr>
        <w:t>E. 9</w:t>
      </w:r>
    </w:p>
    <w:p>
      <w:r>
        <w:t>En l’espèce, l’intimé a fondé sa décision sur les conclusions des Drs S______ et T______, aux termes desquelles le recourant dispose d’une pleine capacité de travail dans une activité adaptée. Sur le fond, le rapport de ces médecins appelle les remarques suivantes. S’agissant du volet psychiatrique, l’examinatrice s’est contentée de nier la présence de plusieurs symptômes de troubles psychiques dans son statut, lequel tient sur moins d’une page. Cette énumération des troubles qui ne sont pas constatés n’est cependant étayée par aucune observation concrète motivant l’exclusion de ces diagnostics. En effet, les seuls éléments ayant trait à la personne du recourant mentionnés par la Dresse T______ sont qu’il parle avec un accent et qu’il est plaintif et démonstratif. Son rapport s’avère ainsi par trop laconique pour emporter la conviction. S’agissant des diagnostics posés, on comprend en outre mal comment la psychiatre peut exclure sans autre explication le diagnostic de majoration de symptômes physiques pour des raisons psychologiques, alors qu’elle affirme par ailleurs que le recourant amplifie verbalement ses plaintes. Elle n’a pas non plus exposé sur quels éléments se fondait le diagnostic de rémission de la perturbation de l’activité et l’attention sous traitement médicamenteux, qui n’est relié à aucune constatation clinique. Elle a par ailleurs évoqué une vie sociale normale et de bonnes ressources d’adaptation chez le recourant, qui bénéficierait du soutien de sa famille. En l’absence de toute description dans l’anamnèse ou dans le status qui permettrait de corroborer ces propos, on peine à en apprécier la pertinence. Il eût en outre été utile que la Dresse T______ détaille les divergences qu’elle affirme avoir constatées entre le comportement de l’assuré et les observations des médecins. Enfin, cette psychiatre se réfère à de brèves aggravations ponctuelles en 2015 et 2016, suivies d’améliorations. Or, on ignore sur ce point également à quels événements elle se réfère, puisque l’anamnèse ne contient aucune indication sur l’évolution de la santé psychique du recourant durant cette période. Du point de vue rhumatologique, le Dr S______ a relevé que l’IRM révélait nouvellement des signes dégénératifs du rachis cervical. Sa conclusion, selon laquelle cette atteinte aurait pu théoriquement empêcher l’assuré d’exercer une activité adaptée pendant un ou deux mois, mais pas de manière durable, est cependant sibylline. En effet, dès lors qu’un phénomène dégénératif tend en général à s’aggraver avec le temps, à défaut d’explication concluante de l’expert, on ne comprend pas comment il cesserait de déployer des effets sur la capacité de gain après deux mois. On ignore en outre pourquoi le rhumatologue qualifie les</w:t>
      </w:r>
    </w:p>
    <w:p>
      <w:r>
        <w:t>A/1546/2017 - 23/24 - limitations de théoriques, puisque les atteintes du rachis ressortant des documents d’imagerie sont bien réelles. Eu égard aux éléments qui précèdent, sur le fond, le rapport des Drs T______ et S______ ne constitue pas une base fiable permettant de déterminer la capacité de travail et de gain du recourant, et partant son degré d’invalidité. En outre, même si ce document devait se voir conférer une pleine valeur probante, force est de constater que l’intimé ne s’est pas conformé aux principes dégagés par le Tribunal fédéral relatifs au droit d’un assuré d’être entendu sur les experts pressentis et leur mission. En effet, il n’a pas donné l’occasion au recourant de se déterminer sur la désignation des médecins examinateurs et sur les questions qui leur seraient posées. Dans la mesure où le rapport de ces derniers constitue un élément essentiel du dossier, il s’agit là d’une violation grave du droit d’être entendu du recourant, que la pleine cognition de la chambre de céans ne suffit pas à pallier. Partant, elle justifie un renvoi à l’intimé, à charge pour ce dernier de mettre en œuvre une nouvelle expertise en procédant conformément aux réquisits jurisprudentiels en matière de droits de participation des assurés, avant de statuer une nouvelle fois sur le droit aux prestations du recourant.</w:t>
      </w:r>
    </w:p>
    <w:p>
      <w:r>
        <w:rPr>
          <w:b/>
        </w:rPr>
        <w:t>E. 10</w:t>
      </w:r>
    </w:p>
    <w:p>
      <w:r>
        <w:t>Le recours est partiellement admis. Le recourant, qui n’est pas représenté, n’a pas droit à des dépens (art. 61 let. g LPGA). La procédure en matière d’assurance-invalidité n'étant pas gratuite (art. 69 al. 1bis LAI), l’intimé sera condamné au paiement d'un émolument de CHF 500.-. * * * * * *</w:t>
      </w:r>
    </w:p>
    <w:p>
      <w:r>
        <w:t>A/1546/2017 - 24/24 -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