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ATAS/324/2011 vom 29. März 2011</w:t>
      </w:r>
    </w:p>
    <w:p>
      <w:r>
        <w:t>GE Cour de justice, 2011-03-29, FR</w:t>
      </w:r>
    </w:p>
    <w:p>
      <w:r>
        <w:rPr>
          <w:b/>
        </w:rPr>
        <w:t xml:space="preserve">Quelle: </w:t>
      </w:r>
      <w:r>
        <w:t>https://mcp.opencaselaw.ch/entscheid/ge_gerichte_ATAS_324_2011</w:t>
      </w:r>
    </w:p>
    <w:p>
      <w:r>
        <w:t>FR: GE_GERICHTE ATAS/324/2011 du 29 mars 2011</w:t>
      </w:r>
    </w:p>
    <w:p>
      <w:r>
        <w:t>IT: GE_GERICHTE ATAS/324/2011 del 29 marzo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w:t>
      </w:r>
    </w:p>
    <w:p>
      <w:r>
        <w:rPr>
          <w:b/>
        </w:rPr>
        <w:t>E. 3</w:t>
      </w:r>
    </w:p>
    <w:p>
      <w:r>
        <w:t>Le litige porte sur le droit de l'OCE de prononcer à l'encontre de l'assuré une suspension d'une durée de vingt jours dans l'exercice de son droit à l'indemnité, au motif qu'il a refusé le poste proposé de concierge auprès de la Ville de Nyon.</w:t>
      </w:r>
    </w:p>
    <w:p>
      <w:r>
        <w:rPr>
          <w:b/>
        </w:rPr>
        <w:t>E. 4</w:t>
      </w:r>
    </w:p>
    <w:p>
      <w:r>
        <w:t>Aux termes de l’art. 16 al. 1 LACI, en règle générale, l’assuré doit accepter immédiatement tout travail en vue de diminuer le dommage. Le législateur a ainsi fixé le principe selon lequel tout travail est réputé convenable; il a exhaustivement</w:t>
      </w:r>
    </w:p>
    <w:p>
      <w:r>
        <w:t>A/3992/2010 - 6/11 - énuméré les exceptions (art. 16 al. 2 let. a à i LACI). De cela 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w:t>
      </w:r>
    </w:p>
    <w:p>
      <w:r>
        <w:t>A/3992/2010 - 7/11 -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rPr>
          <w:b/>
        </w:rPr>
        <w:t>E. 5</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w:t>
      </w:r>
    </w:p>
    <w:p>
      <w:r>
        <w:t>A/3992/2010 - 8/11 - selon lequel l’administration ou le juge devrait statuer, dans le doute, en faveur de l’assuré (ATF 126 V 322 consid. 5 let. a).</w:t>
      </w:r>
    </w:p>
    <w:p>
      <w:r>
        <w:rPr>
          <w:b/>
        </w:rPr>
        <w:t>E. 6</w:t>
      </w:r>
    </w:p>
    <w:p>
      <w:r>
        <w:t>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w:t>
      </w:r>
    </w:p>
    <w:p>
      <w:r>
        <w:rPr>
          <w:b/>
        </w:rPr>
        <w:t>E. 7</w:t>
      </w:r>
    </w:p>
    <w:p>
      <w:r>
        <w:t>En l'espèce, l'assuré considère qu'il n'aurait pas pu assumer le travail de concierge tel qu'il lui a été décrit par la directrice des ressources humaines de la Ville de Nyon en raison de ses lombosciatalgies. Il s'agit ainsi de déterminer si le poste proposé convenait ou non à son état de santé au sens de l'art. 16 al. 2 let. c LACI. Il y a lieu de constater à cet égard que, selon l'expertise du Dr N_________, dont les conclusions ne sont contestées par aucune des parties, l'assuré ne peut certes pas travailler comme monteur-livreur de bureaux, qu'il peut en revanche exercer une activité plus légère à plein temps, à savoir une activité qui lui permettrait de changer souvent de positions, de ne pas rester debout, ni de marcher de façon prolongée, de ne pas rester dans une position de porte-à-faux, ni d'effectuer des mouvements répétitifs du rachis lombaire. La Cour de céans considère que l'emploi de concierge proposé correspond à peu de choses près à l'activité adaptée décrite par l'expert même si la manutention de tables était parfois demandée ou encore le nettoyage de vitres, dans la mesure où les tâches sont précisément variées et ne nécessitent pas le port régulier de charges de plus de cinq kilos. Du reste, il appert du rapport final IPT établi le 13 octobre 2010 que l'assuré avait expressément accepté, à titre de cibles professionnelles possibles, celles de concierge, d'employé polyvalent, et d'employé d'entretien. A cet égard, les explications de l'assuré quant à la définition très personnelle qu'il donne à ces différents emplois n'ont pas convaincu la Cour de céans de ce qu'il n'aurait en réalité pas compris ce qu'ils recouvraient. (cf. PV de CP du 18.01.2011)</w:t>
      </w:r>
    </w:p>
    <w:p>
      <w:r>
        <w:t>A/3992/2010 - 9/11 -</w:t>
      </w:r>
    </w:p>
    <w:p>
      <w:r>
        <w:rPr>
          <w:b/>
        </w:rPr>
        <w:t>E. 8</w:t>
      </w:r>
    </w:p>
    <w:p>
      <w:r>
        <w:t>Certes les déclarations de l'assuré et celles de l'employeur potentiel se contredisent- elles, de sorte qu'il n'est pas possible de déterminer, au degré de vraisemblance prépondérant requis par la jurisprudence, de quelle façon l'entretien s'est déroulé. Qui plus est, la description de l'entretien donnée par la directrice des ressources humaines par téléphone à la conseillère en placement ne correspond pas à celle figurant dans le courrier adressé au Tribunal de céans par le chef de service. Force est également de constater que l'assuré s'était contenté de dire dans un premier temps qu'il ne souhaitait pas faire de travaux de nettoyage ; ce n'est que dans le cadre de l'opposition qu'il a évoqué ses problèmes de santé. Peu importe en réalité, car la faute du recourant réside déjà dans le fait de ne pas avoir accepté, spontanément, l'emploi proposé, s'agissant d'un emploi convenable, étant à cet égard rappelé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ATFA non publié du 24 juin 2003 en la cause C 126/02). Comme on l'a vu ci-dessus, il appartient à l'assuré en effet de faire tout son possible pour sortir de l'assurance-chômage, y compris accepter de commencer l'emploi, quitte à tenter de négocier par la suite. L'attitude de l'assuré est importante, et ne doit pas dissuader le futur employeur de l'engager. Aussi est-ce à juste titre que le service juridique de l'OCE a considéré que l'assuré avait refusé un emploi convenable. La faute est dès lors établie.</w:t>
      </w:r>
    </w:p>
    <w:p>
      <w:r>
        <w:rPr>
          <w:b/>
        </w:rPr>
        <w:t>E. 9</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 Pour fixer la durée de la suspension il y a lieu de tenir compte de toutes les circonstances du cas particulier, tel que le mobile, les circonstances personnelles, les circonstances particulières du cas tel que le comportement de l'employeur, de fausses hypothèses quant à l'état de fait (D 64). Selon l'échelle des suspensions établies par le SECO, un refus d'emploi convenable ou d'un emploi en gain intermédiaire à durée indéterminée assigné à l'assuré ou qu'il a trouvé lui-même donne lieu, en cas d'un premier refus, à une suspension de 31 à 45 jours, car il constitue une faute grave. En revanche, lorsque le refus porte sur un emploi à durée déterminée, la gravité de la faute, et par conséquent la sanction qui y est attachée, varie en fonction de la durée de l'emploi proposé. C'est ainsi qu'un emploi de durée</w:t>
      </w:r>
    </w:p>
    <w:p>
      <w:r>
        <w:t>A/3992/2010 - 10/11 - déterminée de trois mois constitue une faute moyenne, et est passible d'une suspension de 23 à 30 jours (cf. D 72). Le Secrétariat d’Etat à l’économie (SECO) a établi des barèmes relatifs aux sanctions applicables dont le Tribunal fédéral fait régulièrement application. Ledit barème (circulaire IC dans sa teneur au 1er janvier 2007) prévoit, en cas de refus d'un emploi convenable ou d'un emploi en gain intermédiaire à durée déterminée assigné à l'assuré ou qu'il a trouvé lui-même, une suspension de 15 à 20 jours lorsque l'emploi est d'une durée de quatre semaines (chiffre D72).</w:t>
      </w:r>
    </w:p>
    <w:p>
      <w:r>
        <w:rPr>
          <w:b/>
        </w:rPr>
        <w:t>E. 10</w:t>
      </w:r>
    </w:p>
    <w:p>
      <w:r>
        <w:t>Le service juridique de l'OCE a en l'occurrence retenu une suspension de 20 jours, laquelle a été confirmée sur opposition, soit le maximum de la fourchette. Or, même si l'assuré n'a pu établir la preuve de ses allégations quant à la façon dont s'est déroulé l'entretien, il n'en reste pas moins qu'il s'est dûment présenté à l'entretien, d'une part, et qu'il a produit un certificat médical attestant de ses atteintes à la santé, se référant au surplus à l'expertise du Dr N_________, aux termes de laquelle il ne peut pas exercer une activité physiquement contraignante. Il se justifie dès lors, compte tenu du principe de proportionnalité, de réduire la durée de la suspension au minimum de la faute moyenne, soit à 16 jours. Aussi le recours est-il partiellement admis.</w:t>
      </w:r>
    </w:p>
    <w:p>
      <w:r>
        <w:t>A/3992/2010 - 11/11 -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