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ATAS/323/2023 vom 9. Mai 2023</w:t>
      </w:r>
    </w:p>
    <w:p>
      <w:r>
        <w:t>GE Cour de justice, 2023-05-09, FR</w:t>
      </w:r>
    </w:p>
    <w:p>
      <w:r>
        <w:rPr>
          <w:b/>
        </w:rPr>
        <w:t xml:space="preserve">Quelle: </w:t>
      </w:r>
      <w:r>
        <w:t>https://mcp.opencaselaw.ch/entscheid/ge_gerichte_ATAS_323_2023</w:t>
      </w:r>
    </w:p>
    <w:p>
      <w:r>
        <w:t>FR: GE_GERICHTE ATAS/323/2023 du 9 mai 2023</w:t>
      </w:r>
    </w:p>
    <w:p>
      <w:r>
        <w:t>IT: GE_GERICHTE ATAS/323/2023 del 9 maggio 2023</w:t>
      </w:r>
    </w:p>
    <w:p>
      <w:pPr>
        <w:pStyle w:val="Heading2"/>
      </w:pPr>
      <w:r>
        <w:t>Erwägungen</w:t>
      </w:r>
    </w:p>
    <w:p>
      <w:r>
        <w:rPr>
          <w:b/>
        </w:rPr>
        <w:t>E. 31</w:t>
      </w:r>
    </w:p>
    <w:p>
      <w:r>
        <w:t>décembre 2017, après déduction des indemnités déjà versées durant cette période, et d'une rente d'invalidité entière dès le 1er janvier 2018. Elle aura également droit au remboursement de l'éventuelle pose d'une prothèse de la hanche gauche. 16. La recourante obtenant largement gain de cause, l'intimée sera condamnée à lui verser une indemnité de CHF 2'500.- à titre de dépens. 17. La procédure est gratuite.</w:t>
      </w:r>
    </w:p>
    <w:p>
      <w:r>
        <w:t>A/2458/2020 - 23/23 -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