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ATAS/323/2018 vom 17. April 2018</w:t>
      </w:r>
    </w:p>
    <w:p>
      <w:r>
        <w:t>GE Cour de justice, 2018-04-17, FR</w:t>
      </w:r>
    </w:p>
    <w:p>
      <w:r>
        <w:rPr>
          <w:b/>
        </w:rPr>
        <w:t xml:space="preserve">Quelle: </w:t>
      </w:r>
      <w:r>
        <w:t>https://mcp.opencaselaw.ch/entscheid/ge_gerichte_ATAS_323_2018</w:t>
      </w:r>
    </w:p>
    <w:p>
      <w:r>
        <w:t>FR: GE_GERICHTE ATAS/323/2018 du 17 avril 2018</w:t>
      </w:r>
    </w:p>
    <w:p>
      <w:r>
        <w:t>IT: GE_GERICHTE ATAS/323/2018 del 17 aprile 2018</w:t>
      </w:r>
    </w:p>
    <w:p>
      <w:pPr>
        <w:pStyle w:val="Heading2"/>
      </w:pPr>
      <w:r>
        <w:t>Erwägungen</w:t>
      </w:r>
    </w:p>
    <w:p>
      <w:r>
        <w:rPr>
          <w:b/>
        </w:rPr>
        <w:t>E. 42</w:t>
      </w:r>
    </w:p>
    <w:p>
      <w:r>
        <w:t>Le 21 août 2017, le recourant a produit ses remarques relatives à la duplique de l’intimé et a persisté dans ses conclusions tendant à la réalisation d’une expertise et/ou à la mise sur pied d’un stage de réadaptation dans le but de déterminer la capacité de travail actuelle et, partant, la capacité de gain. En effet, le recours avait pour but de démontrer que sa capacité de travail était diminuée dans une mesure plus importante que celle retenue « par erreur » par l’intimé. Cette preuve ne pouvait toutefois être apportée que par le biais d’une expertise ou d’un stage.</w:t>
      </w:r>
    </w:p>
    <w:p>
      <w:r>
        <w:rPr>
          <w:b/>
        </w:rPr>
        <w:t>E. 43</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 4. Le litige porte sur le droit du recourant à une rente entière, singulièrement sur l’existence d’une aggravation de son état de santé entre 2011, année de la dernière décision reposant sur un examen matériel de la situation, et 2017, année au cours de laquelle la décision querellée a été rendue, et sur le calcul du degré d’invalidité.</w:t>
      </w:r>
    </w:p>
    <w:p>
      <w:r>
        <w:t>A/816/2017 - 11/19 - 5.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Lorsque l'administration entre en matière sur une nouvelle demande de prestations, elle doit examiner la cause au plan matériel - soit en instruire tous les aspects médicaux et juridiques - et s'assurer que la modification du degré d'invalidité</w:t>
      </w:r>
    </w:p>
    <w:p>
      <w:r>
        <w:t>A/816/2017 - 12/19 -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A/816/2017 - 13/19 - d’une incapacité de gain. De plus, il n’y a incapacité de gain que si celle-ci n’est pas objectivement surmontable (al. 2 en vigueur dès le 1er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A/816/2017 - 14/19 -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w:t>
      </w:r>
    </w:p>
    <w:p>
      <w:r>
        <w:t>A/816/2017 - 15/19 -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b/dd.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w:t>
      </w:r>
    </w:p>
    <w:p>
      <w:r>
        <w:t>A/816/2017 - 16/19 - l'expert (ATF 137 V 210 consid. 4.4.1.3 et 4.4.1.4 ; SVR 2010 IV n. 49 p. 151, consid. 3.5 ; arrêt du Tribunal fédéral 8C_760/2011 du 26 janvier 2012 consid. 3). 10. a. En l’espèce, la décision du 13 décembre 2012 était notamment fondée sur le rapport de la Dresse H_____ du 5 juin 2002, dans lequel ce médecin a retenu une incapacité de travail totale dans l’activité habituelle et une capacité de travail de 60 % dans une activité adaptée aux limitations fonctionnelles suivantes : alternance des positions assise, debout et marche, pas de mouvements répétitifs en élévation avec les membres supérieurs, pas de port de charges de plus de 5 kg de manière répétitive et de 10 kg de manière occasionnelle, pas de position accroupie ou à genoux, pas de marche en terrain instable, pas de montée et descente répétitive et rapide des escaliers, pas de montée sur des échafaudages, pas de marche rapide et de pivots, pas de position penché en avant en porte-à-faux, pas de mouvements répétitifs avec contrainte en flexion/extension et rotations. b. En 2015, les médecins traitants du recourant ont porté à la connaissance de l’OAI une aggravation de l’état de santé de leur patient, avec notamment des limitations fonctionnelles plus marquées ou supplémentaires : difficultés à la marche et lors du maintien de la position assise (rapport du Dr C_____ du 23 octobre 2015), douleurs lors des stations prolongées en position assise ou debout ainsi qu’à la marche, impotence des membres inférieurs et asthénie (rapport du Dr C_____ du 24 décembre 2015), douleurs aux genoux, impossibilité de marcher sur plus de 500 mètres et de monter plus de huit marches sans s’arrêter (rapport du Dr I_____ du 17 février 2016). Ces rapports ont été soumis au SMR qui a retenu, dans un avis du 1er novembre 2016, que les limitations fonctionnelles s’étaient aggravées et que la profession de concierge à 60 % n’était plus exigible. L’appréciation de la capacité de travail dans l’activité habituelle et dans l’activité adaptée était toutefois toujours la même, à savoir 0 % dans l’activité habituelle et 60 % dans une activité habituelle. b/aa. Cela étant précisé, il s’agit d’examiner, en premier lieu, la valeur probante des rapports au dossier. Force est tout d’abord de constater que les Drs D_____ et I_____ ne retiennent aucune incapacité de travail en lien avec une atteinte relevant de leur spécialisation. En particulier, dans son rapport non daté, mais reçu par l’OAI en date du 2 février 2016, le Dr D_____, cardiologue, ne s’est exprimé que sur l’aspect cardio- vasculaire et renvoie, pour le reste, aux médecins traitants et autres spécialistes. Bien plus, il ne se prononce pas du tout sur la question de la capacité de travail. Quant au Dr I_____, oncologue, s’il a dans un premier temps posé, dans son rapport du 17 février 2016, des diagnostics ne relevant pas de sa spécialité et apprécié la capacité de travail, il a précisé dans son rapport du 3 septembre 2016 que l’incapacité de travail était exclusivement due aux atteintes rhumatologiques du recourant.</w:t>
      </w:r>
    </w:p>
    <w:p>
      <w:r>
        <w:t>A/816/2017 - 17/19 - Enfin, les rapports du Dr C_____ semblent répondre à certains réquisits jurisprudentiels en matière de valeur probante. Ils n’expliquent cependant pas de manière motivée les raisons pour lesquelles la capacité de travail du recourant serait désormais nulle quelle que soit l’activité. Leur valeur probante est ainsi également amoindrie. En conclusion, la chambre de céans ne saurait dès lors se fonder sur les rapports des médecins traitants du recourant pour apprécier la capacité de travail du recourant. b/bb. Au dossier figure également l’avis du SMR du 1er novembre 2016. Il s’agit d’un rapport au sens de l'art. 59 al. 2bis LAI (en corrélation avec l'art. 49 al. 1 RAI) ayant pour fonction d'opérer la synthèse des renseignements médicaux versés au dossier et de prodiguer des recommandations quant à la suite à donner au dossier. Il ne peut comporter des conclusions nouvelles. Une lecture attentive de l’avis du 1er novembre 2016 permet tout d’abord de constater que le SMR a confondu les appréciations des médecins. Il a ainsi retenu que les limitations fonctionnelles s’étaient aggravées dans l’activité de concierge sur la base des constatations du Dr I_____, oncologue, lequel a lui-même admis que l’incapacité de travail était en réalité due aux atteintes orthopédiques, lesquelles ne relevaient pas de sa spécialisation. En d’autres termes, le SMR s’est fondé sur un rapport dont la valeur probante était amoindrie, rapport qu’il a attribué au Dr C_____. En outre, sans fournir la moindre explication, le SMR a considéré, d’une part, que l’activité de concierge, n’était plus exigible et d’autre part que la capacité de travail était identique à celle retenue précédemment, à savoir 0 % dans l’activité habituelle et de 60 % dans une activité adaptée. Or, comme cela ressort notamment de l’expertise de la Dresse H_____, l’activité de concierge pouvait le cas échéant être adaptée aux limitations fonctionnelles du recourant (voir à cet égard l’expertise p. 21 : « l’experte lui a exposé la possibilité de tenir un bureau de tabac, pratiquer des nettoyages de bureaux, ou de tenir une conciergerie avec son épouse. Cela ne lui paraît plus tout à fait insurmontable. Faut-il encore que M. trouve la conciergerie idéale lui permettant de travailler à 60 % »). Enfin, la chambre de céans peine à comprendre – en l’absence d’explications à ce sujet – que l’augmentation des limitations fonctionnelles, avec notamment des difficultés à maintenir les positions assise et debout prolongées, n’ait pas eu de répercussions sur la capacité de travail du recourant. Dans de telles conditions, les conclusions du SMR ne sauraient par conséquent pas non plus être suivies par la chambre de céans. c. Il découle de ce qui précède que la chambre de céans n’est pas en mesure d’apprécier les répercussions de l’aggravation de l’atteinte et des limitations fonctionnelles sur la capacité de travail du recourant dans une activité adaptée et, par conséquent, de déterminer le degré d’invalidité en résultant. En effet, le dossier soumis à la chambre de céans ne comporte aucune appréciation disposant d’une valeur probante suffisante.</w:t>
      </w:r>
    </w:p>
    <w:p>
      <w:r>
        <w:t>A/816/2017 - 18/19 - Dans la mesure où l’intimé est entré en matière sur la demande de révision, il lui appartenait d’examiner la cause au plan matériel - soit en instruire tous les aspects médicaux et juridiques - et s'assurer que la modification du degré d'invalidité rendue vraisemblable par l'assuré était effectivement survenue. Cette instruction n’a à l’évidence pas été effectuée à satisfaction de droit. En pareilles circonstances, il n’appartient pas au juge de suppléer aux carences administratives, de sorte que le dossier sera renvoyé à l’intimé pour instruction complémentaire sur la question de l’aggravation de l’état de santé du recourant et ses répercussions sur la capacité de travail dans une activité adaptée. 11. Au vu de ce qui précède, le recours sera partiellement admis et la décision du 6 février 2017 sera annulée. La cause sera renvoyée à l’intimé pour instruction complémentaire au sens des considérants.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 * * * * *</w:t>
      </w:r>
    </w:p>
    <w:p>
      <w:r>
        <w:t>A/816/2017 - 19/19 -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