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ATAS/322/2017 vom 18. April 2017</w:t>
      </w:r>
    </w:p>
    <w:p>
      <w:r>
        <w:t>GE Cour de justice, 2017-04-18, FR</w:t>
      </w:r>
    </w:p>
    <w:p>
      <w:r>
        <w:rPr>
          <w:b/>
        </w:rPr>
        <w:t xml:space="preserve">Quelle: </w:t>
      </w:r>
      <w:r>
        <w:t>https://mcp.opencaselaw.ch/entscheid/ge_gerichte_ATAS_322_2017</w:t>
      </w:r>
    </w:p>
    <w:p>
      <w:r>
        <w:t>FR: GE_GERICHTE ATAS/322/2017 du 18 avril 2017</w:t>
      </w:r>
    </w:p>
    <w:p>
      <w:r>
        <w:t>IT: GE_GERICHTE ATAS/322/2017 del 18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 ss LPGA.</w:t>
      </w:r>
    </w:p>
    <w:p>
      <w:r>
        <w:rPr>
          <w:b/>
        </w:rPr>
        <w:t>E. 3</w:t>
      </w:r>
    </w:p>
    <w:p>
      <w:r>
        <w:t>Le litige porte sur la question de savoir si c'est à bon droit que l'intimé a remplacé la rente entière d'invalidité de la recourante par une demi-rente d'invalidité à compter du 1er novembre 2016.</w:t>
      </w:r>
    </w:p>
    <w:p>
      <w:r>
        <w:t>A/3426/2016 - 8/15 -</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A/3426/2016 - 9/15 -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A/3426/2016 - 10/15 -</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A/3426/2016 - 11/15 -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a. En l'espèce, il convient d'examiner si la situation de la recourante a subi un changement important propre à influencer son degré d'invalidité, et donc son droit à des prestations. Par décision du 21 mai 2007, la recourante avait été mise au bénéfice d’une rente entière d’invalidité à compter du 1er août 2004 en raison d’un trouble dépressif, épisode sévère, entraînant une incapacité de travail totale. Suite à la procédure de révision initiée par l’intimé en 2009, ce dernier a retenu que l’état de santé de la recourante s’était amélioré, de sorte qu’elle présentait une capacité de travail de 50% en tant qu'infirmière, ce que la recourante conteste.</w:t>
      </w:r>
    </w:p>
    <w:p>
      <w:r>
        <w:t>A/3426/2016 - 12/15 - b. Sur le plan somatique, l’intimé s’est fondé sur l’avis du SMR du 21 janvier 2013, dont les conclusions ont ensuite été confirmées en date des 13 novembre 2015 et 19 août 2016. À la lecture de l’avis du 21 janvier 2013, la Chambre de céans constate que si le SMR a certes retenu des limitations fonctionnelles orthopédiques et indiqué que la capacité de travail était totale dans une activité adaptée, en revanche, il n'a indiqué aucun diagnostic somatique et n'a fait état d'aucune conclusion quant à la capacité de travail de la recourante dans son activité habituelle. Dans le cadre de ses écritures, l’intimé explique que la capacité de travail de 50% en tant qu’infirmière résulte du rapport du Dr D______ du 26 septembre 2010, confirmée par son rapport du 25 septembre 2014. Certes, le Dr D______ a-t-il estimé que la recourante - qui présentait alors une gonarthrose aux deux genoux - avait une capacité de travail de 50% dans son activité habituelle six mois après l'intervention au genou gauche, en revanche, contrairement à ce qu’avance l’intimé, le Dr D______ n’a toutefois pas confirmé la persistance de cette capacité de travail en 2014. Au contraire, dans son rapport du 25 septembre 2014, il a estimé que l’activité habituelle n’était plus exigible en raison de la polypathologie présentée alors par la recourante, soit notamment un status après les deux prothèses totales de genoux en juillet et octobre 2010, un status après arthrodèse métatarsophalangienne et une coxarthrose droite. En outre, contrairement à ce qu'avance l'intimé dans son écriture du 7 décembre 2016, le Dr D______ a constaté l'existence de nouvelles atteintes dans son rapport du 30 juin 2016, à savoir une scoliose sinistro-convexe marquée centrée sur LD avec discopathies dégénératives étagées prédominant à la charnière dorso-lombaire et des rétrécissements foraminaux étagés du côté droit. Par ailleurs, le SMR a retenu que la recourante pouvait exercer une activité en position debout, mais pas de manière prolongée. Elle devait également pouvoir changer de position à son gré deux fois par heure (avis du 21 janvier 2013). Or, la Chambre de céans constate que ces limitations fonctionnelles ne résultent d'aucun rapport versé à la procédure, le Dr D______ ayant retenu que la recourante pouvait uniquement travailler en position assise (rapports des 26 septembre 2010 et 25 septembre 2014). Or, on rappellera que les avis du SMR ne doivent pas poser de nouvelles conclusions médicales, mais porter une appréciation sur celles déjà existantes. Quoi qu'il en soit, la Chambre de céans peine à comprendre comment l’exercice de l’activité d’infirmière pourrait être compatible avec l’interdiction de maintenir une position debout prolongée et la nécessité d'alterner les positions deux fois par heure. Force est dès lors de constater que les rapports versés à la procédure ne permettent pas de confirmer que, sur le plan somatique, la recourante présente une capacité de travail de 50% en tant qu'infirmière. Il convient par conséquent de renvoyer la</w:t>
      </w:r>
    </w:p>
    <w:p>
      <w:r>
        <w:t>A/3426/2016 - 13/15 - cause à l'intimé pour instruction médicale complémentaire, sous la forme d'une expertise effectuée par un orthopédiste indépendant. c. Sur le plan psychique, l’intimé s’est fondé sur l’avis du Dr F______ et a retenu une capacité de travail de 50% dès janvier 2013 dans toutes les activités. À la demande de l'intimé, par rapport du 21 décembre 2012, le Dr F______ a diagnostiqué, avec répercussion sur la capacité de travail de la recourante, une anxiété généralisée (F41.1) depuis 2003, et sans répercussion sur la capacité de travail, un trouble dépressif récurrent, épisode actuel léger depuis juin 2012 et des traits de personnalité dépendante depuis l’adolescence. La chambre de céans relèvera que les diagnostics posés par le Dr F______, expert psychiatre, s'opposent à ceux retenus non seulement par le psychiatre traitant, mais également par le Dr C______, expert psychiatre mandaté par l’intimé. En effet, alors que le Dr F______ est d’avis que la recourante présente une anxiété généralisée remontant à 2003, ni le Dr C______ (rapport du 6 juillet 2010), ni le Dr B______ n’ont fait état de cette atteinte à la santé. Qui plus est, alors que ces deux spécialistes ont relevé un trouble dépressif majeur récurrent, le Dr F______ ne l’a pas constaté. En outre, alors que ce dernier retient uniquement des traits de personnalité dépendante, le Dr C______ a, quant à lui, mis en évidence un trouble de la personnalité dépendante. S’agissant de la capacité de travail de la recourante, le Dr F______ a estimé qu’elle était de 50% dès le 4 octobre 2012, tout en réservant la possibilité d’une nouvelle péjoration du trouble dépressif. Or, les rapports établis par le Dr B______ font état de phases récurrentes d’états dépressifs sévères qui rendraient la recourante cliniquement incapable d’exercer une activité professionnelle (rapports des 12 et 18 août 2014, 30 janvier 2015). Compte tenu de ce qui précède, et au vu des diagnostics différents posés par les deux experts psychiatres, la Chambre de céans ne saurait confirmer, sans autre instruction, les conclusions du Dr F______, lesquelles, de surcroît, se fondent sur un examen effectué le 4 octobre 2012, alors que la décision litigieuse a été rendue près de quatre ans plus tard, soit le 15 septembre 2016. Ainsi, à défaut d'informations fiables et suffisantes sur les atteintes somatiques et psychiques dont souffre la recourante et sur leurs répercussions éventuelles sur sa capacité de travail, la Chambre de céans n’est pas en mesure d’apprécier de manière adéquate la situation médicale de la recourante et de déterminer si elle a présenté une amélioration de sa capacité de gain, au sens de l’art. 17 LPGA. Il convient dès lors de renvoyer la cause à l'intimé afin qu'il ordonne un complément d'instruction sous la forme notamment d'une expertise médicale indépendante auprès de médecins spécialisés en psychiatrie également.</w:t>
      </w:r>
    </w:p>
    <w:p>
      <w:r>
        <w:rPr>
          <w:b/>
        </w:rPr>
        <w:t>E. 11</w:t>
      </w:r>
    </w:p>
    <w:p>
      <w:r>
        <w:t>Les conditions jurisprudentielles d’un renvoi sont d’autant plus remplies que l'intimé n'a pas instruit correctement la situation médicale de la recourante. En cas</w:t>
      </w:r>
    </w:p>
    <w:p>
      <w:r>
        <w:t>A/3426/2016 - 14/15 - de nécessité, un stage d'observation professionnelle visant à clarifier le rendement exigible et les activités qui demeurent à la portée de la recourante sera également organisé. Une fois ces mesures d'instruction effectuées, il appartiendra à l'intimé d'évaluer le taux d'invalidité et de rendre une nouvelle décision.</w:t>
      </w:r>
    </w:p>
    <w:p>
      <w:r>
        <w:rPr>
          <w:b/>
        </w:rPr>
        <w:t>E. 12</w:t>
      </w:r>
    </w:p>
    <w:p>
      <w:r>
        <w:t>Vu ce qui précède, le recours sera partiellement admis, la décision querellée annulée et le dossier renvoyé à l'autorité administrative afin qu'elle procède conformément aux considérants.</w:t>
      </w:r>
    </w:p>
    <w:p>
      <w:r>
        <w:rPr>
          <w:b/>
        </w:rPr>
        <w:t>E. 13</w:t>
      </w:r>
    </w:p>
    <w:p>
      <w:r>
        <w:t>La recourante, qui est représentée et qui obtient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14</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A/3426/2016 - 15/15 -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