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ATAS/321/2025 vom 8. Mai 2025</w:t>
      </w:r>
    </w:p>
    <w:p>
      <w:r>
        <w:t>GE Cour de justice, 2025-05-08, FR</w:t>
      </w:r>
    </w:p>
    <w:p>
      <w:r>
        <w:rPr>
          <w:b/>
        </w:rPr>
        <w:t xml:space="preserve">Quelle: </w:t>
      </w:r>
      <w:r>
        <w:t>https://mcp.opencaselaw.ch/entscheid/ge_gerichte_ATAS_321_2025</w:t>
      </w:r>
    </w:p>
    <w:p>
      <w:r>
        <w:t>FR: GE_GERICHTE ATAS/321/2025 du 8 mai 2025</w:t>
      </w:r>
    </w:p>
    <w:p>
      <w:r>
        <w:t>IT: GE_GERICHTE ATAS/321/2025 del 8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le recours est recevable.</w:t>
      </w:r>
    </w:p>
    <w:p>
      <w:r>
        <w:rPr>
          <w:b/>
        </w:rPr>
        <w:t>E. 2</w:t>
      </w:r>
    </w:p>
    <w:p>
      <w:r>
        <w:t>Le litige porte sur le refus par l’OAI de toute prestation invalidité.</w:t>
      </w:r>
    </w:p>
    <w:p>
      <w:r>
        <w:rPr>
          <w:b/>
        </w:rPr>
        <w:t>E. 3</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à teneur de l’état de fait, l’éventuel droit à la rente de l’assuré est né avant le 1er janvier 2022, de sorte que les dispositions légales applicables seront citées dans leur ancienne teneur.</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w:t>
      </w:r>
    </w:p>
    <w:p>
      <w:r>
        <w:t>A/606/2024 - 8/19 -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rPr>
          <w:b/>
        </w:rPr>
        <w:t>E. 5.2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w:t>
      </w:r>
    </w:p>
    <w:p>
      <w:r>
        <w:t>A/606/2024 - 9/19 -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6</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w:t>
      </w:r>
    </w:p>
    <w:p>
      <w:r>
        <w:t>A/606/2024 - 10/19 -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 4.3 ; arrêt du Tribunal fédéral 9C_618/2019 du 16 mars 2020 consid. 8.2).</w:t>
      </w:r>
    </w:p>
    <w:p>
      <w:r>
        <w:rPr>
          <w:b/>
        </w:rPr>
        <w:t>E. 7.1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t>A/606/2024 - 11/19 -</w:t>
      </w:r>
    </w:p>
    <w:p>
      <w:r>
        <w:rPr>
          <w:b/>
        </w:rPr>
        <w:t>E. 7.3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7.4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7.5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w:t>
      </w:r>
    </w:p>
    <w:p>
      <w:r>
        <w:t>A/606/2024 - 12/19 -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7.7</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(cf. ATF 137 V 210 consid. 3.4.2.3 ; cf. arrêt du Tribunal fédéral 8C_162/2023 du 9 octobre 2023 consid. 2.3 et les références).</w:t>
      </w:r>
    </w:p>
    <w:p>
      <w:r>
        <w:rPr>
          <w:b/>
        </w:rPr>
        <w:t>E. 7.8</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w:t>
      </w:r>
    </w:p>
    <w:p>
      <w:r>
        <w:t>A/606/2024 - 13/19 -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 arrêt du Tribunal fédéral 9C_833/2007 du 4 juillet 2008, in Plädoyer 2009/1 p. 70 ; arrêts du Tribunal fédéral I 35/03 du 24 octobre 2003 consid. 4.3 et les références, in Plädoyer 2004/3 p. 64 ; 9C_512/2013 du 16 janvier 2014 consid. 5.2.1).</w:t>
      </w:r>
    </w:p>
    <w:p>
      <w:r>
        <w:rPr>
          <w:b/>
        </w:rPr>
        <w:t>E. 7.9</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8</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w:t>
      </w:r>
    </w:p>
    <w:p>
      <w:r>
        <w:t>A/606/2024 - 14/19 -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cf. arrêt du Tribunal fédéral 8C_43/2023 du 29 novembre 2023 consid. 5.1 et 5.2 et les références).</w:t>
      </w:r>
    </w:p>
    <w:p>
      <w:r>
        <w:rPr>
          <w:b/>
        </w:rPr>
        <w:t>E. 9.1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9.2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10</w:t>
      </w:r>
    </w:p>
    <w:p>
      <w:r>
        <w:t>En l'espèce, la chambre de céans a déjà exposé dans son ordonnance d’expertise du 27 août 2024 les raisons pour lesquelles elle considérait que l’expertise administrative bi-disciplinaire ordonnée par l’OAI n’était pas probante. Point n’est besoin de revenir sur cette appréciation.</w:t>
      </w:r>
    </w:p>
    <w:p>
      <w:r>
        <w:t>A/606/2024 - 15/19 -</w:t>
      </w:r>
    </w:p>
    <w:p>
      <w:r>
        <w:rPr>
          <w:b/>
        </w:rPr>
        <w:t>E. 10.1</w:t>
      </w:r>
    </w:p>
    <w:p>
      <w:r>
        <w:t>En ce qui concerne les deux rapports d’expertise judiciaire, la chambre de céans constate que les experts ont pris connaissance du dossier complet du recourant, étudié et discuté soigneusement les rapports pertinents y figurant, présenté des anamnèses détaillées et fouillées, et retranscrit précisément les informations livrées par le recourant, s’agissant particulièrement des traitements suivis, de ses plaintes et habitudes. Ils ont argumenté les diagnostics retenus et motivé leurs conclusions consensuelles quant aux limitations fonctionnelles et à la capacité de travail. Les rapports d’expertise remplissent donc, a priori, les exigences jurisprudentielles pour se voir reconnaître une pleine valeur probante. Il convient encore d’examiner s’il existe des indices concrets permettant de douter du bien-fondé de ces rapports.</w:t>
      </w:r>
    </w:p>
    <w:p>
      <w:r>
        <w:rPr>
          <w:b/>
        </w:rPr>
        <w:t>E. 10.2</w:t>
      </w:r>
    </w:p>
    <w:p>
      <w:r>
        <w:t>S’agissant du rapport d’expertise psychiatrique, ses conclusions ne sont fondamentalement pas remises en question par les parties. La chambre de céans considère que ladite expertise présente une pleine valeur probante et fait sienne l’appréciation de l’expert I______ selon laquelle, en dépit d’une dépression de gravité légère, l’assuré dispose d’une entière capacité de travail dans l’activité habituelle et dans une activité adaptée et qu’il n’existe pas de limitations fonctionnelles sur le plan psychiatrique.</w:t>
      </w:r>
    </w:p>
    <w:p>
      <w:r>
        <w:rPr>
          <w:b/>
        </w:rPr>
        <w:t>E. 10.3</w:t>
      </w:r>
    </w:p>
    <w:p>
      <w:r>
        <w:t>En ce qui concerne l’expertise rhumatologique, l’expert estime que la capacité de travail de l’assuré est nulle dans son activité habituelle de chauffeur de taxi, dès le 1er janvier 2023 et de 50%, dès cette même date, dans un emploi adapté à ses limitations fonctionnelles. Il retient un diagnostic avec répercussion sur la capacité de travail de : lombalgies chroniques sur un canal lombaire étroit modéré L2-L3 (shizas B) et une arthrose inflammatoire L5 et S1 à droite (Modic 1) (ME 84.2) depuis janvier 2023. Les limitations fonctionnelles dans une activité adaptée sont les suivantes : pas de port de charges de plus de 5 kg ; pas de mouvements répétés du rachis ; travail en position assise avec la possibilité de changer de position toutes les 45 minutes ; éviter les déplacements à pied de plus de 30 minutes ; éviter de devoir monter sur des échelles et des échafaudages ; éviter de devoir marcher sur un terrain accidenté et pouvoir s’étendre au moins quatre heures par jour. L’expert ne note pas d’exagération des symptômes et considère que le tableau clinique est cohérent avec l’évolution et correspond à ce qui est attendu pour les diagnostics retenus. En revanche, il souligne que le traitement suivi par l’assuré n’est pas adéquat car il devrait impérativement être suivi par un rhumatologue et un kinésithérapeute ; de surcroît, le traitement antalgique devrait être intensifié et un traitement dégressif de cortisone devrait être entrepris. L’expert critique l’appréciation du rhumatologue désigné à titre d’expert par l’intimé, relevant que son appréciation repose principalement sur l’IRM de 2019 qui était normale, alors que quatre ans après cet examen, il semblerait logique que</w:t>
      </w:r>
    </w:p>
    <w:p>
      <w:r>
        <w:t>A/606/2024 - 16/19 - l’expert s’appuie sur un nouvel examen. De surcroît, il relève que l’expert de l’OAI ne tient pas compte des remarques faites durant le stage aux EPI. La chambre de céans constate que l’expert en rhumatologie a retenu les mêmes critiques que cette dernière, telles qu’elles sont mentionnées dans l’ordonnance d’expertise du 27 août 2024.</w:t>
      </w:r>
    </w:p>
    <w:p>
      <w:r>
        <w:rPr>
          <w:b/>
        </w:rPr>
        <w:t>E. 10.4</w:t>
      </w:r>
    </w:p>
    <w:p>
      <w:r>
        <w:t>S’agissant des griefs du SMR à l’encontre du rapport d’expertise rhumatologique, ils se fondent principalement sur l’absence d’éléments objectifs permettant de mettre en évidence que l’aggravation de l’état de santé de l’assuré est antérieure à la date de la décision. Appelé à se prononcer sur le préavis du SMR du 17 février 2025, l’expert met clairement en doute ladite appréciation, relevant qu’on peut difficilement admettre une aggravation de l’état de santé sur le plan radiologique et en déduire qu’il n’y a aucune répercussion sur le plan clinique. Il considère que les douleurs décrites sont réelles et invalidantes et se produisent lors des changements de position lors du port de charges, limitant également les déplacements à pied. Il sied de rappeler que la chambre de céans ne peut s’écarter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Le rapport du SMR ne met en évidence aucune contradiction ou éléments objectifs ignorés par l’expert, qui justifierait de s’écarter de l’appréciation de ce dernier. Partant, la chambre de céans considère que l’OAI fait une appréciation différente de celle de l’expert judiciaire, portant sur le même état clinique, ce qui ne justifie pas de remettre en doute les conclusions de ce dernier.</w:t>
      </w:r>
    </w:p>
    <w:p>
      <w:r>
        <w:rPr>
          <w:b/>
        </w:rPr>
        <w:t>E. 10.5</w:t>
      </w:r>
    </w:p>
    <w:p>
      <w:r>
        <w:t>En ce qui concerne le recourant, ce dernier se demande pour quelle raison ce n’est qu’à partir du 1er janvier 2023 que son incapacité de travail partielle devrait être reconnue. Or, la réponse se trouve dans le rapport d’expertise, p. 13, qui montre que ce n’est qu’à partir du stage aux EPI, dès le mois de janvier 2023, que</w:t>
      </w:r>
    </w:p>
    <w:p>
      <w:r>
        <w:t>A/606/2024 - 17/19 - l’incapacité du recourant a été dûment observée et objectivée alors même qu’auparavant, en 2021 et 2022, le Dr B______ avait surtout mis l’accent sur l’existence d’un syndrome dépressif sévère, qui rendait impossible, selon lui, toute activité professionnelle. Comme l’expert judiciaire l’a relevé (rapport d’expertise, p. 17), l’avis du Dr B______ est trop succinct pour pouvoir se prononcer ; dès lors, la date du 1er janvier 2023 peut être retenue. S’agissant, enfin, des doutes du recourant concernant l’activité qu’il pourrait encore entreprendre en devant se reposer pendant quatre heures par jour, ils doivent être écartés dès lors qu’une activité lucrative à mi-temps paraît compatible avec une telle période de repos.</w:t>
      </w:r>
    </w:p>
    <w:p>
      <w:r>
        <w:rPr>
          <w:b/>
        </w:rPr>
        <w:t>E. 11.1</w:t>
      </w:r>
    </w:p>
    <w:p>
      <w:r>
        <w:t>Compte tenu de ce qui précède, la chambre de céans fait sienne l’appréciation de l’expert en rhumatologie selon laquelle l’assuré, dès le 1er janvier 2023, ne dispose d’aucune capacité de travail dans son activité habituelle et d’une capacité de travail de 50% dans une activité adaptée à ses limitations fonctionnelles. Étant précisé que, comme l’a relevé l’expert rhumatologue, la situation pourrait être réévaluée après la mise en place du suivi rhumatologique et kinésithérapeutique tel que proposé dans son rapport d’expertise. Dès lors que l’OAI a retenu une capacité de travail complète et que le recourant n’a pas eu l’occasion de se prononcer sur des éléments chiffrés permettant d’établir le revenu qu’il aurait pu obtenir s'il n'était pas invalide et de le comparer avec le revenu qu'il pourrait obtenir en exerçant l'activité qui peut raisonnablement être exigée de lui, après les traitements et les mesures de réadaptation, sur un marché du travail équilibré, la cause sera renvoyée à l’OAI afin qu’il se détermine sur les revenus avec et sans invalidité et se prononce sur le taux d’invalidité retenu.</w:t>
      </w:r>
    </w:p>
    <w:p>
      <w:r>
        <w:rPr>
          <w:b/>
        </w:rPr>
        <w:t>E. 11.2</w:t>
      </w:r>
    </w:p>
    <w:p>
      <w:r>
        <w:t>En ce qui concerne les frais de l’expertise judiciaire, selon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w:t>
      </w:r>
    </w:p>
    <w:p>
      <w:r>
        <w:t>A/606/2024 - 18/19 - En d'autres mots, il doit exister un lien entre les défauts de l'instruction administrative et la nécessité de mettre en œuvre une expertise judiciaire (ATF 137 V 210 consid. 4.4.2). Tel n’est pas le cas en l’espèce, l’OAI ayant mandaté des experts en matière psychiatrique et rhumatologique, quand bien même les appréciations de ce dernier divergent de celles de l’expert judiciaire en rhumatologie désigné par la chambre de céans. Les frais d’expertise seront donc laissés à la charge de l’État.</w:t>
      </w:r>
    </w:p>
    <w:p>
      <w:r>
        <w:rPr>
          <w:b/>
        </w:rPr>
        <w:t>E. 11.3</w:t>
      </w:r>
    </w:p>
    <w:p>
      <w:r>
        <w:t>Le recourant, assisté par un mandataire professionnellement qualifié et obtenant partiellement gain de cause, a droit à une indemnité à titre de participation à ses frais et dépens, que la chambre de céans fixera à CHF 3'500.- (art. 61 let. g LPGA ; art. 89H al. 3 de la loi sur la procédure administrative du 12 septembre 1985 [LPA - E 5 10] ; art. 6 du règlement sur les frais, émoluments et indemnités en procédure administrative du 30 juillet 1986 [RFPA - E 5 10.03]).</w:t>
      </w:r>
    </w:p>
    <w:p>
      <w:r>
        <w:rPr>
          <w:b/>
        </w:rPr>
        <w:t>E. 11.4</w:t>
      </w:r>
    </w:p>
    <w:p>
      <w:r>
        <w:t>Étant donné que, depuis le 1er juillet 2006, la procédure n'est plus gratuite (art. 69 al. 1bis LAI), au vu du sort du recours, il y a lieu de condamner l'intimé au paiement d'un émolument de CHF 200.-.</w:t>
      </w:r>
    </w:p>
    <w:p>
      <w:r>
        <w:t>A/606/2024 - 19/19 -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