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ATAS/321/2020 vom 30. April 2020</w:t>
      </w:r>
    </w:p>
    <w:p>
      <w:r>
        <w:t>GE Cour de justice, 2020-04-30, FR</w:t>
      </w:r>
    </w:p>
    <w:p>
      <w:r>
        <w:rPr>
          <w:b/>
        </w:rPr>
        <w:t xml:space="preserve">Quelle: </w:t>
      </w:r>
      <w:r>
        <w:t>https://mcp.opencaselaw.ch/entscheid/ge_gerichte_ATAS_321_2020</w:t>
      </w:r>
    </w:p>
    <w:p>
      <w:r>
        <w:t>FR: GE_GERICHTE ATAS/321/2020 du 30 avril 2020</w:t>
      </w:r>
    </w:p>
    <w:p>
      <w:r>
        <w:t>IT: GE_GERICHTE ATAS/321/2020 del 30 aprile 2020</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w:t>
      </w:r>
    </w:p>
    <w:p>
      <w:r>
        <w:rPr>
          <w:b/>
        </w:rPr>
        <w:t>E. 2</w:t>
      </w:r>
    </w:p>
    <w:p>
      <w:r>
        <w:t>Interjeté le 17 juin 2019 contre la décision litigieuse du 21 mai 2019, le recours a été formé en temps utile (art. 60 al. 1 LPGA) et satisfait aux exigences de forme et de contenu prévues par l’art. 61 let. b LPGA (cf. aussi l’art. 89B LPA), de sorte qu’il est recevable.</w:t>
      </w:r>
    </w:p>
    <w:p>
      <w:r>
        <w:rPr>
          <w:b/>
        </w:rPr>
        <w:t>E. 3</w:t>
      </w:r>
    </w:p>
    <w:p>
      <w:r>
        <w:t>Sur le plan matériel, sont en principe applicables les règles de droit en vigueur au moment où les faits juridiquement déterminants se sont produits (ATF 129 V 1 consid. 1 ; ATF 127 V 467 consid. 1 et les références). Compte tenu de la date de la décision litigieuse (21 mai 2019), qui détermine l’application dans le temps des règles légales au présent litige (ATF 130 V 447 consid. 1.2.1; ATF 127 V 467 consid. 1), il y a lieu de tenir compte de la</w:t>
      </w:r>
    </w:p>
    <w:p>
      <w:r>
        <w:t>- 27/43 -</w:t>
      </w:r>
    </w:p>
    <w:p>
      <w:r>
        <w:t>A/2309/2019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sur l’assurance-invalidité du 17 janvier 1961 (RAI – RS 831.201) dans sa teneur du 1er décembre 2017 est applicable, eu égard au traitement uniforme et égal des assurés, à partir de l’entrée en vigueur de cette modification (arrêt du Tribunal fédéral 9C_553/2017 du 18 décembre 2017 consid.</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w:t>
      </w:r>
    </w:p>
    <w:p>
      <w:r>
        <w:t>- 28/43 -</w:t>
      </w:r>
    </w:p>
    <w:p>
      <w:r>
        <w:t>A/2309/2019 présence d’une incapacité de gain. De plus, il n’y a incapacité de gain que si celle- 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w:t>
      </w:r>
    </w:p>
    <w:p>
      <w:r>
        <w:t>- 29/43 -</w:t>
      </w:r>
    </w:p>
    <w:p>
      <w:r>
        <w:t>A/2309/2019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- 30/43 -</w:t>
      </w:r>
    </w:p>
    <w:p>
      <w:r>
        <w:t>A/2309/2019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8.1</w:t>
      </w:r>
    </w:p>
    <w:p>
      <w:r>
        <w:t>et 9C_242/2012 du 13 août 2012 consid. 3). 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w:t>
      </w:r>
    </w:p>
    <w:p>
      <w:r>
        <w:t>- 38/43 -</w:t>
      </w:r>
    </w:p>
    <w:p>
      <w:r>
        <w:t>A/2309/2019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w:t>
      </w:r>
    </w:p>
    <w:p>
      <w:r>
        <w:t>a. En l’espèce, il ressort en synthèse du rapport d’expertise neurologique du 9 février 2018 du Dr G______ et de l’examen neuropsychologique que celui-ci a délégué à Mme R______ que les quelques plaintes neurologiques formulées encore actuellement et le résultat de l’examen neurologique – qui était sans anomalie significative – ne pouvaient être considérés comme la cause d’une incapacité de travail significative au terme d’une période d’un an maximum après l’événement accidentel et, sur le plan neuropsychologique, deux ans après cet événement, sans qu’il y ait de limitations fonctionnelles neurologiques ou neuropsychologiques au terme de cette période d’un an, respectivement deux ans. L’expert motive cet écart d’un an par le fait que tant Mme R______ que M. N______ concluent à des incohérences et éléments atypiques qui rendent l’examen neuropsychologique non probant et ne permettent donc pas de retenir une atteinte à la santé. Le Dr G______ ajoute qu’il n’a pas échappé aux neuropsychologues cités que l’évolution de la recourante était curieusement défavorable, puisque lors du séjour de cette dernière à l’Hôpital de Beau-Séjour fin 2011-début 2012, il était question de troubles attentionnels et exécutifs modérés alors que lors des tests neuropsychologiques récents, les troubles étaient apparemment sévères. À cet égard, l’expert G______ a</w:t>
      </w:r>
    </w:p>
    <w:p>
      <w:r>
        <w:t>- 31/43 -</w:t>
      </w:r>
    </w:p>
    <w:p>
      <w:r>
        <w:t>A/2309/2019 souligné que cette évolution s’expliquait bien par les anomalies et incohérences (défaut d’effort) constatées par Mme R______ et M. N______ et non par une hypothétique affection dégénérative évoluant indépendamment du traumatisme. Tenant compte des plaintes de l’assurée, comportant une anamnèse détaillée, des diagnostics motivés et des conclusions claires et cohérentes, le rapport d’expertise du Dr G______ remplit ainsi les réquisits permettant de lui reconnaître valeur probante. b. La recourante soutient pour sa part qu’il serait prématuré de se prononcer sur sa capacité de travail dans une activité adaptée, dans la mesure où l’expert neurologue a suggéré lui-même de compléter l’instruction par une enquête administrative visant à déterminer exactement le type et le taux d’activité effectif, un bilan psychiatrique et éventuellement un bilan orthopédique. En second lieu, la Dresse K______ ne partagerait pas l’avis émis par l’expert au sujet de la capacité de travail dans une activité adaptée. Concernant le premier point, la chambre de céans relève que dans la mesure où l’expert ne fait pas dépendre son appréciation du cas – sur le plan neurologique et neuropsychologique – du résultat des investigations qu’il propose, le suivi ou non de ces dernières n’est pas de nature à affecter la portée de l’expertise pour le domaine médical qu’elle concerne. En outre, on ne saurait reprocher à l’intimé de ne pas avoir complété l’instruction médicale sur le plan psychiatrique. En effet, en l’absence de document faisant état d’un suivi ou à tout le moins d’un diagnostic psychiatrique, la seule mention, de la part du Dr G______, qui n’est pas psychiatre, d’un « comportement […] très particulier » n’apparaît pas suffisamment circonstanciée pour mettre en lumière une instruction lacunaire. Quant à la situation sur le plan orthopédique, il a sans doute échappé à la recourante que c’est précisément parce que le rapport du 24 avril 2018 des Drs T______ et S______ indique que la recourante les a consultés en juin 2016 pour une instabilité douloureuse externe de la cheville gauche – et que de l’avis de ces médecins, elle présentait une capacité de travail nulle dans l’activité habituelle mais pleine et entière dans une activité adaptée – que le SMR a considéré dans son rapport final du 9 juillet 2018 qu’au vu de cette atteinte incapacitante nouvelle (séquelles d’entorse de la cheville gauche), son activité de professeur de fitness n’était plus exigible dès le 1er juin 2016, mais qu’il existait néanmoins, dès le 1er janvier 2014, soit deux ans après que les conséquences neuropsychologiques avaient cessé de déployer leurs effets incapacitants, une capacité de travail entière dans toute activité n’impliquant ni sollicitation répétée de la cheville gauche, ni travail en terrain instable, ni saut, ni déplacements latéraux. Quant au rapport du 1er mai 2018 de la Dresse K______, il ne comporte pas d’élément objectivement vérifiable qui aurait été ignoré par l’expert G______. Partant, en application de la jurisprudence constante (ci-dessus : consid. 7c/dd), le fait que la Dresse K______ apprécie différemment la capacité de travail de la recourante, dans une activité adaptée, ne suffit pas à remettre en cause les conclusions du rapport d’expertise du 9 février</w:t>
      </w:r>
    </w:p>
    <w:p>
      <w:r>
        <w:t>- 32/43 -</w:t>
      </w:r>
    </w:p>
    <w:p>
      <w:r>
        <w:t>A/2309/2019 2018. Et le fait que l’expert n’ait pas pris contact avec la Dresse K______ – dont il a examiné les rapports – non plus. Enfin, étant donné que l’instruction a été complétée, sur le plan orthopédique, par la prise en compte du rapport du 24 avril 2018 des Drs T______ et S______ (cf. le rapport final du SMR du 9 juillet 2018), le reproche d’une analyse fondée sur un état de fait nécessairement incomplet doit être écarté. Compte tenu de ce qui précède, la chambre de céans retiendra qu’il est établi, au degré de la vraisemblance prépondérante, que la capacité de travail de la recourante était nulle pour toute activité du 16 novembre 2011 au 31 décembre 2013, mais qu’elle est entière dans une activité adaptée à ses limitations fonctionnelles (qui concernent uniquement la cheville gauche), depuis le 1er janvier 2014.</w:t>
      </w:r>
    </w:p>
    <w:p>
      <w:r>
        <w:rPr>
          <w:b/>
        </w:rPr>
        <w:t>E. 10</w:t>
      </w:r>
    </w:p>
    <w:p>
      <w:r>
        <w:t>Il convient à présent de déterminer le statut de la recourante, point sur lequel la position des parties diverge.</w:t>
      </w:r>
    </w:p>
    <w:p>
      <w:r>
        <w:rPr>
          <w:b/>
        </w:rPr>
        <w:t>E. 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respectivement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- 33/43 -</w:t>
      </w:r>
    </w:p>
    <w:p>
      <w:r>
        <w:t>A/2309/2019 assurances sociales atteigne le degré de vraisemblance prépondérante (ATF 141 V</w:t>
      </w:r>
    </w:p>
    <w:p>
      <w:r>
        <w:rPr>
          <w:b/>
        </w:rPr>
        <w:t>E. 15</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w:t>
      </w:r>
    </w:p>
    <w:p>
      <w:r>
        <w:t>- 36/43 -</w:t>
      </w:r>
    </w:p>
    <w:p>
      <w:r>
        <w:t>A/2309/2019 organiser son travail et demander l’aide de ses proches dans une mesure convenable (ATF 133 V 504 consid. 4.2 et les références; arrêt du Tribunal fédéral 9C_784/2013 du 5 mars 2014 consid. 3.2). Par ailleurs,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w:t>
      </w:r>
    </w:p>
    <w:p>
      <w:r>
        <w:rPr>
          <w:b/>
        </w:rPr>
        <w:t>E. 16</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w:t>
      </w:r>
    </w:p>
    <w:p>
      <w:r>
        <w:t>- 37/43 -</w:t>
      </w:r>
    </w:p>
    <w:p>
      <w:r>
        <w:t>A/2309/2019 consid. 2.2). Ce n’est qu’en présence de circonstances particulières qu’il peut se justifier qu’on s’en écarte et qu’on recoure aux données statistiques résultant de l’ESS éditées par l’Office fédéral de la statistique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t>- 39/43 -</w:t>
      </w:r>
    </w:p>
    <w:p>
      <w:r>
        <w:t>A/2309/2019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w:t>
      </w:r>
    </w:p>
    <w:p>
      <w:r>
        <w:t>- 40/43 -</w:t>
      </w:r>
    </w:p>
    <w:p>
      <w:r>
        <w:t>A/2309/2019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18</w:t>
      </w:r>
    </w:p>
    <w:p>
      <w:r>
        <w:t>a. En l’espèce, il convient de rappeler à titre liminaire qu’au regard des conclusions du rapport d’expertise du Dr G______ – que la chambre de céans fait siennes (ci- dessus : consid. 9) –, la capacité de travail de la recourante était nulle dans toute activité du 16 novembre 2011 au 31 décembre 2013, mais entière et sans diminution de rendement depuis le 1er janvier 2014, dans une activité adaptée à ses limitations fonctionnelles (cheville gauche). Constatant, à la lumière du CI de la recourante, que celle-ci avait réalisé des revenus très fluctuants dans diverses activités avant l’accident du 16 novembre 2011, l’intimé n’a pas déterminé le revenu sans invalidité en fonction du dernier salaire que la recourante a obtenu avant cet événement, mais en se fondant sur les données statistiques de l’ESS (2014), plus particulièrement le tableau TA1, tirage skill-level, secteur privé, ligne « total », pour une activité de niveau 2. Pour sa part, la recourante soutient que sans l’accident, son revenu sans invalidité aurait pu correspondre, pour une activité de monitrice de fitness exercée 30 heures par semaine et rémunérée CHF 60.- par heure, à un montant de CHF 86’400.- par an (sur 48 semaines, les vacances étant incluses dans le taux horaire de CHF 60.-). La chambre de céans ne saurait toutefois se fonder sur l’évolution hypothétique du revenu sans invalidité telle qu’elle est présentée par la recourante. En effet, celle-ci est en contradiction avec les déclarations que cette dernière a faites le 12 novembre 2014 (selon lesquelles elle aurait travaillé à 50% en tant qu’instructrice de fitness, sans atteinte à la santé) et l’attestation de l’employeur n°1 du 17 avril 2012, qui indique qu’elle aurait dû exercer une activité à 50% dès le 1er décembre 2011. En outre, il est impossible de déterminer ce qu’elle aurait gagné dans une activité annexe (dont on ignore de surcroît la nature), si elle avait terminé sa formation d’infirmière qu’elle suivait à distance en Suède. Par opposition, le choix de l’intimé de déterminer le revenu sans invalidité au moyen de la statistique retenue n’apparaît pas critiquable, notamment au regard des indemnités de chômage que la recourante percevait jusqu’en octobre 2011 et du type d’activités qu’elle exerçait tout au plus pendant quelques mois d’affilée avant son atteinte à la santé (remplacements au cycle d’orientation pour des cours d’anglais, missions pour Médecins sans frontières, etc.). La recourante conteste en outre le revenu d’invalide retenu, non parce que l’intimé s’est fondé sur le revenu statistique d’une branche particulière, à savoir la ligne 90- 93 (« arts, spectacles et activités récréatives ») du tableau TA1 précité – choix qui ne prête pas le flanc à la critique – mais en raison de l’incapacité alléguée d’exercer</w:t>
      </w:r>
    </w:p>
    <w:p>
      <w:r>
        <w:t>- 41/43 -</w:t>
      </w:r>
    </w:p>
    <w:p>
      <w:r>
        <w:t>A/2309/2019 une activité, même adaptée, à plus de 60 % dans cette branche. Dans la mesure où ce raisonnement s’écarte des conclusions médicales déterminantes (cf. ci-dessus : consid. 9), il ne saurait être suivi. La chambre de céans s’en tiendra par conséquent non seulement aux revenus statistiques avec et sans invalidité tels qu’ils ressortent de la décision querellée, mais aussi aux empêchements dans les travaux habituels retenus dans les enquêtes ménagères des 12 novembre 2014 et 11 mars 2019, qui ne sont pas contestées et remplissent tous les réquisits nécessaires à leur valeur probante (cf. ci-dessus : consid. 15). b. Le délai d’attente d’une année pour l’ouverture du droit à la rente a commencé à courir le 16 novembre 2011, date de l’incapacité de travail totale de la recourante consécutive à l’accident survenu le même jour. Cependant, dans la mesure où elle a fait valoir son droit aux prestations seulement en août 2012, son droit à la rente est né le 1er février 2013 (art. 29 al. 1 et 3 LAI) et a en principe pris fin le 31 mars 2014, soit le dernier jour du troisième mois suivant le retour à une capacité de travail entière dans une activité adaptée (le 1er janvier 2014), en application de l’art. 88a RAI. L’intimé indique pour sa part que nonobstant son incapacité de travail dans toute activité du 16 novembre 2011 au 31 décembre 2013, la recourante n’aurait pas droit à une rente puisqu’en poursuivant son activité habituelle de monitrice de fitness, elle aurait réalisé des gains similaires, voire supérieurs, à ceux qui étaient les siens avant son atteinte à la santé, de sorte qu’il n’y aurait pas de perte économique. La chambre de céans ne saurait se rallier à un tel raisonnement qui s’écarte non seulement de l’absence de capacité résiduelle de travail dans cette activité, telle qu’elle résulte de l’instruction médicale du cas, mais aussi – et de manière non moins contradictoire – du taux d’activité bien supérieur (80%) auquel la recourante exercerait une activité lucrative sans atteinte à la santé (cf. arrêt du Tribunal fédéral 9C_683/2008 du 25 février 2009 consid. 4.2.2 pour une problématique similaire). Il convient ainsi de corriger le calcul du degré d’invalidité pour la situation telle qu’elle se présentait du 16 novembre 2012 (terme du délai d’attente d’une année) au 31 décembre 2013 (fin de l’incapacité de travail dans toute activité), et qui ouvre le droit à une rente entière du 1er février 2013 au 31 mars 2014 :</w:t>
      </w:r>
    </w:p>
    <w:p>
      <w:r>
        <w:t>Activités Part en % Revenu sans invalidité Revenu d’invalide exigible Perte économique/ empêchement en % Invalidité en % professionnelle 80% CHF 48’919.- (ou revenu réalisé jusqu’au 16/11/2011) CHF 0.- 100% 80%</w:t>
      </w:r>
    </w:p>
    <w:p>
      <w:r>
        <w:t>- 42/43 -</w:t>
      </w:r>
    </w:p>
    <w:p>
      <w:r>
        <w:t>A/2309/2019 travaux habituels 20% -.- -.- Pas de données disponibles pour la période du 16/11/12 au 31/12/13 Taux d’invalidité &gt; 80%</w:t>
      </w:r>
    </w:p>
    <w:p>
      <w:r>
        <w:t>Pour le surplus, les taux d’invalidité déterminés selon l’ancienne méthode mixte pour la période du 1er janvier 2014 au 31 décembre 2017 (9%) et la nouvelle méthode mixte à partir du 1er janvier 2018 (18%) s’avèrent conformes au droit. La recourante fait certes valoir que le revenu d’invalide exigible (CHF 48’118.-) serait trop élevé sans un abattement qui se justifierait notamment en raison de son âge et de ses limitations fonctionnelles. Cette question souffre toutefois de rester indécise. En effet, même dans l’hypothèse d’un abattement maximal de 25%, le revenu d’invalide s’élèverait encore à CHF 36’088.50 (soit 48’118 - 25%) et la perte de gain à CHF 25’060.50 (CHF 61'149.- moins CHF 36’088.50). Ainsi le degré d’invalidité resterait insuffisant même en application de la nouvelle méthode mixte au 1er janvier 2018 : Activités Part en % Revenu sans invalidité Revenu d’invalide exigible Perte économique/ empêchement en % Invalidité en % professionnelle 80% CHF 61’149.- CHF 36’088.50.- 40.98% 32.78% travaux habituels 20% -.- -.- 3.00% 0.60% Taux d’invalidité 33.38% (soit 33%)</w:t>
      </w:r>
    </w:p>
    <w:p>
      <w:r>
        <w:rPr>
          <w:b/>
        </w:rPr>
        <w:t>E. 19</w:t>
      </w:r>
    </w:p>
    <w:p>
      <w:r>
        <w:t>Au vu de ce qui précède, le recours sera partiellement admis, la décision du 21 mai 2019 annulée et il sera dit que la recourante a droit à une rente entière d’invalidité du 1er février 2013 au 31 mars 2014.</w:t>
      </w:r>
    </w:p>
    <w:p>
      <w:r>
        <w:rPr>
          <w:b/>
        </w:rPr>
        <w:t>E. 20</w:t>
      </w:r>
    </w:p>
    <w:p>
      <w:r>
        <w:t>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w:t>
      </w:r>
    </w:p>
    <w:p>
      <w:r>
        <w:rPr>
          <w:b/>
        </w:rPr>
        <w:t>E. 21</w:t>
      </w:r>
    </w:p>
    <w:p>
      <w:r>
        <w:t>Un émolument de CHF 200.- sera mis à la charge de l’intimé (art. 69 al. 1bis LAI).</w:t>
      </w:r>
    </w:p>
    <w:p>
      <w:r>
        <w:t>*****</w:t>
      </w:r>
    </w:p>
    <w:p>
      <w:r>
        <w:t>- 43/43 -</w:t>
      </w:r>
    </w:p>
    <w:p>
      <w:r>
        <w:t>A/2309/2019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