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ATAS/321/2008 vom 18. März 2008</w:t>
      </w:r>
    </w:p>
    <w:p>
      <w:r>
        <w:t>GE Cour de justice, 2008-03-18, FR</w:t>
      </w:r>
    </w:p>
    <w:p>
      <w:r>
        <w:rPr>
          <w:b/>
        </w:rPr>
        <w:t xml:space="preserve">Quelle: </w:t>
      </w:r>
      <w:r>
        <w:t>https://mcp.opencaselaw.ch/entscheid/ge_gerichte_ATAS_321_2008</w:t>
      </w:r>
    </w:p>
    <w:p>
      <w:r>
        <w:t>FR: GE_GERICHTE ATAS/321/2008 du 18 mars 2008</w:t>
      </w:r>
    </w:p>
    <w:p>
      <w:r>
        <w:t>IT: GE_GERICHTE ATAS/321/2008 del 18 marzo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w:t>
      </w:r>
    </w:p>
    <w:p>
      <w:r>
        <w:t>A/2646/2007 - 11/22 - réserve dès le jour de son entrée en vigueur (ATF 117 V 93 consid. 6b, 112 V 360 consid. 4a; RAMA 1998 KV 37 p. 316 consid. 3b). En l'espèce, la demande de prestations a été déposée le 9 décembre 2003. La LPGA s’applique donc au cas d’espèce.</w:t>
      </w:r>
    </w:p>
    <w:p>
      <w:r>
        <w:rPr>
          <w:b/>
        </w:rPr>
        <w:t>E. 3</w:t>
      </w:r>
    </w:p>
    <w:p>
      <w:r>
        <w:t>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28 mars 2007, qui a été confirmé par la décision du 30 mai 2007, contre laquelle l'assuré a interjeté directement recours devant le Tribunal de céans le 4 juillet 2007. c) Interjeté dans les forme et délai prévus par la loi, devant l'autorité compétente, le recours est en conséquence recevable (art. 56 ss LPGA).</w:t>
      </w:r>
    </w:p>
    <w:p>
      <w:r>
        <w:rPr>
          <w:b/>
        </w:rPr>
        <w:t>E. 4</w:t>
      </w:r>
    </w:p>
    <w:p>
      <w:r>
        <w:t>L'objet du litige porte sur le droit de la recourante à des prestations de l'assurance- 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w:t>
      </w:r>
    </w:p>
    <w:p>
      <w:r>
        <w:t>A/2646/2007 - 12/22 -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w:t>
      </w:r>
    </w:p>
    <w:p>
      <w:r>
        <w:t>A/2646/2007 - 13/22 -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A/2646/2007 - 14/22 -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w:t>
      </w:r>
    </w:p>
    <w:p>
      <w:r>
        <w:t>A/2646/2007 - 15/22 -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w:t>
      </w:r>
    </w:p>
    <w:p>
      <w:r>
        <w:t>A/2646/2007 - 16/22 -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10</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w:t>
      </w:r>
    </w:p>
    <w:p>
      <w:r>
        <w:t>A/2646/2007 - 17/22 -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t>A/2646/2007 - 18/22 -</w:t>
      </w:r>
    </w:p>
    <w:p>
      <w:r>
        <w:rPr>
          <w:b/>
        </w:rPr>
        <w:t>E. 11</w:t>
      </w:r>
    </w:p>
    <w:p>
      <w:r>
        <w:t>Dans le cas d’espèce, d'une part, le SMR a estimé que la recourante était capable de travailler à 50% dans l'activité de gainière et à 100% dans une activité adaptée depuis le 1er novembre 2003, alors que, d'autre part, le Dr L_________ a fait état de limitations psychiques entraînant une incapacité de travail à 50%, le rapport d'évaluation de l'entreprise PRO a attesté d'une incapacité de la recourante à reprendre une activité professionnelle tant physiquement que moralement, le Dr B_________ a attesté d'une incapacité de travail totale depuis le 20 novembre 2002 et les Dresses N et D_________ ont exclu l'exigibilité du travail de gainière. Pour ces raisons, il convient d'ordonner une expertise bi-disciplinaire, psychiatrique et rhumatologique. Pour répondre aux observations de l'intimé, il convient de constater que la mission d'expertise transmise aux parties le 27 novembre 2007 comprend bien une appréciation consensuelle du cas par les deux experts choisis.</w:t>
      </w:r>
    </w:p>
    <w:p>
      <w:r>
        <w:rPr>
          <w:b/>
        </w:rPr>
        <w:t>E. 12</w:t>
      </w:r>
    </w:p>
    <w:p>
      <w:r>
        <w:t>Cette expertise sera confiée au Prof. R_________, lequel exerce encore auprès d'un Groupe médical , selon l'information téléphonique requise par le Tribunal de céans le 10 mars 2008, et au Dr Q_________, médecin spécialiste en psychiatrie adulte.</w:t>
      </w:r>
    </w:p>
    <w:p>
      <w:r>
        <w:t>A/2646/2007 - 19/22 -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