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ATAS/31/2021 vom 25. Januar 2021</w:t>
      </w:r>
    </w:p>
    <w:p>
      <w:r>
        <w:t>GE Cour de justice, 2021-01-25, FR</w:t>
      </w:r>
    </w:p>
    <w:p>
      <w:r>
        <w:rPr>
          <w:b/>
        </w:rPr>
        <w:t xml:space="preserve">Quelle: </w:t>
      </w:r>
      <w:r>
        <w:t>https://mcp.opencaselaw.ch/entscheid/ge_gerichte_ATAS_31_2021</w:t>
      </w:r>
    </w:p>
    <w:p>
      <w:r>
        <w:t>FR: GE_GERICHTE ATAS/31/2021 du 25 janvier 2021</w:t>
      </w:r>
    </w:p>
    <w:p>
      <w:r>
        <w:t>IT: GE_GERICHTE ATAS/31/2021 del 25 gennaio 2021</w:t>
      </w:r>
    </w:p>
    <w:p>
      <w:pPr>
        <w:pStyle w:val="Heading2"/>
      </w:pPr>
      <w:r>
        <w:t>Erwägungen</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des art. 28 al. 1 et 29 al. 1 LAI (dans leur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A/1927/2019 - 19/26 -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w:t>
      </w:r>
    </w:p>
    <w:p>
      <w:r>
        <w:t>A/1927/2019 - 20/26 - degré de la vraisemblance prépondérante tel que requis en droit des assurances sociales (ATF 126 V 353 consid. 5b). Selon la doctrine, pour faire le choix de l'une ou l'autre méthode d'évaluation, il ne s'agit pas du point de savoir si l'exercice de telle ou telle activité serait raisonnablement exigible, mais bien de déterminer quelles activités l'assuré exercerait et à quel taux, dans les circonstances semblables, même en l'absence d'atteinte à la santé. Pour répondre à cette question, on tient compte de l'évolution de la situation jusqu'au prononcé de la décision administrative, en admettant la reprise hypothétique d'une activité lucrative partielle ou complète ou la poursuite des travaux habituels si ces éventualités présentent un degré de vraisemblance prépondérante. Pour fixer la méthode d'évaluation de l'invalidité, l'activité exercée avant la survenance de l'invalidité n'est donc pas à elle seule déterminante même si, selon la jurisprudence, il convient d'accorder un poids important à cette circonstance. Le Tribunal fédéral a notamment retenu que, chez une femme qui avait repris une activité lucrative après la naissance de son enfant, la reconnaissance par l'assurance-chômage d'une aptitude pleine et entière au placement pouvait constituer un indice selon lequel elle ne se serait pas confinée à des activités ménagères une activité à plein temps, ce qui justifiait l'application de la méthode de comparaison des revenus (Michel Valterio Commentaire de la loi fédérale sur l'assurance-invalidité et Schulthess éditions romandes 2018 ad art.28a note 6 p. 400 et 401 et les références jurisprudentielles citées).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9</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w:t>
      </w:r>
    </w:p>
    <w:p>
      <w:r>
        <w:t>A/1927/2019 - 21/26 -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 Cst. étant toujours valable (ATF 124 V 90 consid. 4b, 122 V 157 consid. 1d).</w:t>
      </w:r>
    </w:p>
    <w:p>
      <w:r>
        <w:rPr>
          <w:b/>
        </w:rPr>
        <w:t>E. 11</w:t>
      </w:r>
    </w:p>
    <w:p>
      <w:r>
        <w:t>a. En l'espèce l'intimé a procédé à l'évaluation de l'invalidité selon la méthode mixte, dans une note datée du 9 octobre 2018. La chambre de céans constate que la date de ce document est vraisemblablement erronée : en effet, non seulement il a été enregistré au dossier de l'OAI le 13 novembre 2018 (doc. 55), soit à la date même où a été enregistré le rapport sur l'enquête économique sur le ménage (doc. 56), mais il tient encore compte des résultats de cette enquête qui retiennent les empêchements évalués par l'enquêtrice en ce qui concerne la part des travaux habituels. Quoi qu'il en soit, le taux d'activité professionnelle retenu, sans autre commentaire, est celui de 90 %, soit le taux d'activité auquel l'assurée exerçait son</w:t>
      </w:r>
    </w:p>
    <w:p>
      <w:r>
        <w:t>A/1927/2019 - 22/26 - activité professionnelle au moment de la survenance de son incapacité de travail en 2016. b. L'enquête économique sur le ménage n'apporte, sur ce point, aucun éclairage déterminant : au chapitre 2 des constatations de l'enquêtrice (détermination de l'activité lucrative), il est constaté que l'assurée est conseillère à la clientèle dans une banque, D______, à 90 %; le rapport décrit la situation actuelle de l'intéressée, (elle travaille actuellement dans son poste à 50 %, ayant trois jours d'hospitalisation par mois pour ces traitements plus deux jours chaque quatre mois également pour les traitements. À la question de savoir si, sans handicap, une activité lucrative serait exercée à ce jour (2.2), l'enquêtrice s'est bornée à cocher la case réponse "oui" sans autre précision sur le taux auquel serait exercée cette activité, l'enquêtrice se bornant à noter comme motif : "financier et par intérêt personnel". L'enquêtrice a en outre noté que la situation financière des époux était très juste, au vu du manque à gagner des deux côtés du couple (2.3). En ce qui concerne la nature et l'importance de l'activité lucrative (2.4), l'enquêtrice a simplement noté " active à 90 % en tant qu'employée de banque", et enfin quant à la date et motifs de l'abandon ou de la réduction de l'activité lucrative (2.5), il a été relevé : "mise en IT durable en octobre 2016." c. Force est de constater au vu de ce qui précède que ce rapport ne permet pas de déterminer si l'enquêtrice a effectivement ou non posé la question expresse de savoir, selon l'assurée, si elle exercerait ou non, selon sa volonté hypothétique, une activité à plein temps, sans atteinte à la santé. Cet aspect n'a pas échappé au conseil de la recourante qui, lors de l'audience de comparution personnelle, a interrogé l'intimé à ce sujet. La chambre de céans retient de la réponse de la représentante de l'intimé que l'OAI s'est en réalité borné à retenir que dans les faits, au moment de l'atteinte à la santé, l'assurée travaillait à un taux de 90 %, en raison de ses obligations familiales. L'intimé admet s'être fondé sur le fait que lors de sa visite, l'infirmière spécialisée a constaté que l'assurée s'occupait de ses filles, le mercredi après-midi, notamment en les aidant dans leurs devoirs et en les accompagnant dans leurs activités, ce qui du point de vue de l'intimé, constituerait un indice vraisemblable que sans atteinte à la santé, l'assurée aurait continué à en faire de même. S'agissant de savoir si au moment de la décision entreprise l'OAI avait pris en compte, après les avoir instruits, les critères énumérés par la jurisprudence, la représentante de l'intimé a admis que c'était le conseil de la recourante qui lui-même avait apporté ces éléments dans le cadre de la procédure judiciaire, et que ceux-ci figuraient au dossier. Interrogée sur la question de savoir si la volonté hypothétique de la recourante avait été examinée et si en particulier l'enquêtrice avait interrogé l'assurée sur cette question, la représentante de l'intimé s'est bornée à répondre qu'elle « pensait » que l'infirmière lui avait posé la question, pour finalement admettre implicitement que cela ne ressortait pas clairement du rapport, suggérant que la question pourrait être posée à la recourante. Cette dernière a répondu qu'elle ne pouvait répondre ni par oui ni par non à la question de savoir si</w:t>
      </w:r>
    </w:p>
    <w:p>
      <w:r>
        <w:t>A/1927/2019 - 23/26 - l'enquêtrice lui avait formellement posé cette question, savoir si sans atteinte à la santé, elle aurait augmenté à terme son taux de travail à 100 %. Elle a toutefois indiqué que si la question lui avait été posée, elle aurait évidemment répondu par l'affirmative, d'autant qu'il ressortait du rapport, qu'elle avait évoqué avec l'enquêtrice notamment la question des difficultés financières de son mari, ce qui était une raison de plus pour qu'elle ait envisagé une telle solution. Sur l'insistance du conseil de la recourante, s'agissant de savoir s'il existait une preuve de ce que la question précise avait été posée à l'assurée, la représentante de l'OAI s'est référée au ch. 2.2 du rapport, - qui, comme on l'a vu, est nettement insuffisant au niveau de la précision. Mieux encore, la représentante de l'OAI, s'agissant de savoir si le fait de répondre oui à la question posée sous cette rubrique signifiait pour elle que l'on doive se retrouver dans un statut mixte, elle a répondu qu'il existait une « note au dossier » dans laquelle le gestionnaire avait noté que l'intéressée avait une activité à 90 %. Or, cette note (ch. 14 § 1, ci-dessus) ne peut être que postérieure aux résultats de l'enquête économique, et elle se fonde précisément sur le rapport de l'enquêtrice. On ne peut dès lors que constater, vu l'importance déterminante de la détermination du statut dans le cas particulier, entre statut d'active à 100 % et statut mixte, que l'OAI n'a pas véritablement recherché à élucider cette question du taux auquel l'assurée aurait exercé son activité, sans atteinte à la santé, avant de rendre la décision entreprise. d. Ainsi, comme la représentante de l'intimé l'a admis elle-même, cette question a été instruite, par la force des choses, dans le cadre de la procédure judiciaire, l'assurée y apportant les éléments de réponse sur lesquels l'intimé aurait dû s'interroger et interroger l'assurée avant de rendre la décision entreprise. Comme le mentionne la jurisprudence citée précédemment, pour déterminer le champ probable de l'activité de l'assuré, il faut notamment prendre en considération la situation financière du ménage, l'éducation des enfants, l'âge de l'assuré, ses qualifications professionnelles, sa formation ainsi que ses affinités et talents personnels et de la volonté hypothétique de l'assuré, ceci sur la base d'indices extérieurs, au degré de la vraisemblance prépondérante (ATF 137 V 334 consid. 3.2; ATF 117 V 194 consid. 3b ; Pratique VSI 1997 p. 301 ss consid. 2b ; arrêt du Tribunal fédéral 9C_722/2016 du 17 février 2017 consid. 2.2). À ce sujet, la chambre de céans constate, au vu du parcours professionnel de l'assurée, qu'elle a toujours été active à 100 % jusqu'à la naissance de son premier enfant comme en atteste notamment son curriculum vitae ; qu'en dépit de cette naissance, elle a maintenu un taux d'activité élevé même si inférieur à 100 % ; qu'elle n'a pas réduit ce taux après la naissance de son second enfant, mais qu'elle l'a augmenté progressivement, jusqu'à atteindre 90 % en 2009 ; qu'au moment de l'atteinte à sa santé elle était à l'âge où sa carrière était en plein épanouissement; et que les motifs pour lesquels elle avait négocié un taux d'activité inférieur à 100 %, tenaient à des raisons familiales, soit l'éducation de ses enfants tant que ceux-ci n'auraient pas atteint un certain degré d'autonomie ; mais que par la suite</w:t>
      </w:r>
    </w:p>
    <w:p>
      <w:r>
        <w:t>A/1927/2019 - 24/26 - également, venant renforcer les aspirations de la recourante d'exercer une activité lucrative à plein temps dès qu'elle le pourrait, était venu encore s'ajouter l'aspect financier de la famille, au vu des difficultés professionnelles rencontrées par son mari, et ses conséquences sur la situation financière du couple. Au-delà des déclarations de l'assurée, force est de constater que l'employeur, en la personne du supérieur direct de la recourante, a attesté dans son courrier du 26 août 2019, qu'il était prévu qu'elle occupe un poste à plein temps dès que ses obligations éducatives le permettraient, mais que ce projet avait toutefois dû être abandonné en raison de sa maladie, son temps de travail ayant dû être adapté à son état de santé. Entendu par la chambre de céans, M. L______ a exposé de manière précise, et convaincante, l'évolution de l'assurée au sein de la banque, et le fait que la décision de limiter le taux d'activité à 80, puis à 90 %, était une demande émanant de sa collaboratrice, ceci à raison de ses obligations maternelles. Il a précisé qu'en tant que collaboratrice auprès de la clientèle, il souhaitait évidemment que le moment venu, elle puisse travailler à 100 %. Il a également confirmé l'étendue des compétences de la recourante, et le fait que si elle n'avait pas été atteinte dans sa santé et qu'elle lui avait demandé d'augmenter son taux de travail à 100 %, il aurait naturellement accepté. Ainsi, à tout le moins au degré de la vraisemblance prépondérante, la chambre de céans retiendra que sans atteinte à la santé, l'assurée aurait repris une activité à 100 %, cet objectif n'ayant été compromis que par la survenance de l'atteinte à la santé. Les objections de l'intimé dans ses écritures et dans les déclarations de sa représentante en comparution personnelle ne convainquent pas. Le fait qu'après l'atteinte à la santé, l'assurée se consacre encore le mercredi à ses enfants, pour les conduire à leurs activités extrascolaires ou les aider dans leurs devoirs, ne saurait constituer un indice pertinent pour concevoir que l'intéressée, sans atteinte à la santé, aurait continué à s'occuper de ses enfants le mercredi. De même, l'observation de l'intimé de l'évolution des revenus du mari de la recourante, et le fait notamment qu'au moment - avant la survenance de l'atteinte à la santé - où les revenus du mari avaient déjà sensiblement chuté, elle n'ait pas songé à augmenter son temps de travail déjà à ce moment-là, tombe à faux, - comme elle l'a relevé -, car à l'époque, ses enfants étaient encore en bas âge, et nécessitaient sa présence auprès d'eux. En revanche, à l'époque de la survenance de l'atteinte à la santé, la question avait été discutée entre les époux, compte tenu de la situation professionnelle du mari, mais n'avait pu se concrétiser pour ce motif de santé. Au vu de ce qui précède, la chambre de céans conclut, au degré de la vraisemblance prépondérante exigée en matière d'assurances sociales, que la recourante, sans atteinte à la santé, aurait repris une activité à 100 %, de sorte que c'est à tort que l'intimé a retenu un statut mixte et non pas un statut d'active à 100 %.</w:t>
      </w:r>
    </w:p>
    <w:p>
      <w:r>
        <w:t>A/1927/2019 - 25/26 -</w:t>
      </w:r>
    </w:p>
    <w:p>
      <w:r>
        <w:rPr>
          <w:b/>
        </w:rPr>
        <w:t>E. 12</w:t>
      </w:r>
    </w:p>
    <w:p>
      <w:r>
        <w:t>Dans cette mesure, il n'est pas nécessaire d'examiner les autres griefs, d'ailleurs formulés à titre subsidiaire à l'encontre de la décision entreprise, s'agissant en particulier des observations et conclusions de l'enquêtrice dans le cadre de l'examen, lors de l'enquête ménagère, des empêchements, de la pondération des activités et de l'exigibilité retenue de la part de l'époux, dès lors que ces aspects n'entrent pas en ligne de compte, vu le statut d'active qu'il convient de reconnaître à la recourante. De même, la détermination du taux d'invalidité de la recourante en tant qu'active, soit de 50 %, n'est pas remise en cause par les parties, la décision entreprise, non contestée sur ce point, étant conforme aux principes applicables.</w:t>
      </w:r>
    </w:p>
    <w:p>
      <w:r>
        <w:rPr>
          <w:b/>
        </w:rPr>
        <w:t>E. 13</w:t>
      </w:r>
    </w:p>
    <w:p>
      <w:r>
        <w:t>Au vu de ce qui précède, le recours sera admis et la décision du 4 avril 2019 sera annulée. Le dossier sera retourné à l'intimé pour nouveau calcul de la rente fondé sur un degré d'invalidité de 50 % donnant droit à une demi-rente, et nouvelle décision.</w:t>
      </w:r>
    </w:p>
    <w:p>
      <w:r>
        <w:rPr>
          <w:b/>
        </w:rPr>
        <w:t>E. 14</w:t>
      </w:r>
    </w:p>
    <w:p>
      <w:r>
        <w:t>La recourante obtenant gain de cause, une indemnité de CHF 2'000.- lui sera accordée à titre de participation à ses frais et dépens (art. 61 let. g LPGA; art. 6 du règlement sur les frais, émoluments et indemnités en matière administrative du 30 juillet 1986 [RFPA - E 5 10.03]).</w:t>
      </w:r>
    </w:p>
    <w:p>
      <w:r>
        <w:rPr>
          <w:b/>
        </w:rPr>
        <w:t>E. 15</w:t>
      </w:r>
    </w:p>
    <w:p>
      <w:r>
        <w:t>Au vu du sort du recours, il y a lieu de condamner l'intimé au paiement d'un émolument de CHF 300.- (art. 69 al. 1bis LAI).</w:t>
      </w:r>
    </w:p>
    <w:p>
      <w:r>
        <w:t>******</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