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ATAS/319/2023 vom 13. April 2023</w:t>
      </w:r>
    </w:p>
    <w:p>
      <w:r>
        <w:t>GE Cour de justice, 2023-04-13, FR</w:t>
      </w:r>
    </w:p>
    <w:p>
      <w:r>
        <w:rPr>
          <w:b/>
        </w:rPr>
        <w:t xml:space="preserve">Quelle: </w:t>
      </w:r>
      <w:r>
        <w:t>https://mcp.opencaselaw.ch/entscheid/ge_gerichte_ATAS_319_2023</w:t>
      </w:r>
    </w:p>
    <w:p>
      <w:r>
        <w:t>FR: GE_GERICHTE ATAS/319/2023 du 13 avril 2023</w:t>
      </w:r>
    </w:p>
    <w:p>
      <w:r>
        <w:t>IT: GE_GERICHTE ATAS/319/2023 del 13 aprile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étant une décision relative à des prestations prévues par la LAI.</w:t>
      </w:r>
    </w:p>
    <w:p>
      <w:r>
        <w:rPr>
          <w:b/>
        </w:rPr>
        <w:t>E. 1.2</w:t>
      </w:r>
    </w:p>
    <w:p>
      <w:r>
        <w:t>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w:t>
      </w:r>
    </w:p>
    <w:p>
      <w:r>
        <w:t>A/3702/2022 - 9/24 - LPA), les dispositions spécifiques que la LAI contient sur la procédure restant réservées (art. 1 al. 1 LAI). Le délai de recours est de trente jours (art. 56 LPGA ; art. 62 al. 1 LPA). Interjeté dans la forme et le délai prévus par la loi, le recours est recevable (art. 56 ss LPGA et 62 ss LPA).</w:t>
      </w:r>
    </w:p>
    <w:p>
      <w:r>
        <w:rPr>
          <w:b/>
        </w:rPr>
        <w:t>E. 2</w:t>
      </w:r>
    </w:p>
    <w:p>
      <w:r>
        <w:t>Le 1er janvier 2022 sont entrées en vigueur les modifications de la LAI du 19 juin 2020 (développement continu de l’AI ; RO 2021 705).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s’il était admis, serait né avant le 1er janvier 2022, de sorte que les dispositions légales applicables seront citées dans leur ancienne teneur.</w:t>
      </w:r>
    </w:p>
    <w:p>
      <w:r>
        <w:rPr>
          <w:b/>
        </w:rPr>
        <w:t>E. 3</w:t>
      </w:r>
    </w:p>
    <w:p>
      <w:r>
        <w:t>Le principe jurisprudentiel selon lequel la décision sur opposition de l'organe de l'assurance sociale fixe la limite temporelle de l'état de fait déterminant (parmi de nombreux autres arrêts, ATF 131 V 242 consid. 2.1)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131 V 407 consid. 2.1.2.1 ; 121 V 366 consid. 1b et les arrêts cités). Le litige porte sur le bien-fondé du rejet de la nouvelle demande de prestations du recourant, du 11 septembre 2020, singulièrement sur la question de savoir si son état de santé s’est aggravé entre la dernière décision reposant sur un examen matériel du droit aux prestations et la décision litigieuse. En tant qu’ils relatent des événements postérieurs à cette dernière, les courriers des 6 et 21 avril 2023 ne feront pas l’objet de d’un examen par la chambre de céans.</w:t>
      </w:r>
    </w:p>
    <w:p>
      <w:r>
        <w:rPr>
          <w:b/>
        </w:rPr>
        <w:t>E. 4.1</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 ATF 130 V 343 consid. 3.5.2 ; ATF 130 V 71 consid. 3.2 ; arrêt du Tribunal fédéral 9C_899/2015 du 4 mars 2016 consid. 4.1 et les références). L’art. 17 LPGA dispose que si le taux d’invalidité du bénéficiaire de la rente subit une modification notable, la rente est, d’office ou sur demande, révisée pour l’avenir, à savoir augmentée ou réduite en conséquence, ou encore supprimée</w:t>
      </w:r>
    </w:p>
    <w:p>
      <w:r>
        <w:t>A/3702/2022 - 10/24 - (al. 1). De même, toute prestation durable accordée en vertu d’une décision entrée en force est, d’office ou sur demande, augmentée ou réduite en conséquence, ou encore supprimée si les circonstances dont dépendait son octroi changent notablement (al. 2). Pour qu’une décision de révision entrée en force constitue elle aussi une nouvelle base de comparaison dans le cadre d’une révision ultérieure, il faut qu’elle repose sur un examen matériel du droit à la rente avec une constatation des faits pertinents, une appréciation des preuves et une comparaison des revenus conformes au droit (ATF 133 V 108). Ces principes s’appliquent également en cas de nouvelle demande (ATF 130 V 71 consid. 3 ; arrêt du Tribunal fédéral 9C_685/2011 du 6 mars 2012 consid. 5.1). Pour fixer le cadre temporel des faits à comparer au regard d’une éventuelle révision, respectivement – comme dans le cas d’espèce – pour trancher la question de savoir si le recourant a rendu vraisemblable une éventuelle péjoration de son état de santé, seul importe que la décision à la base de la comparaison se fonde sur un examen matériel de la situation, sans que le résultat de celui-ci ne doive être apprécié ou ne joue un rôle dans le présent contexte (arrêt du Tribunal fédéral 9C_685/2011 du 6 mars 2012 consid. 5.2 et la référence). Si, après un premier refus de prestation, un nouvel examen matériel du droit à la rente a eu lieu et que celui-ci a été une nouvelle fois nié de manière définitive après un établissement des faits conforme au droit, une appréciation des preuves ainsi que la réalisation d’une comparaison des revenus (en cas d’indices d’une répercussion des effets de l’état de santé sur l’activité lucrative), la personne demandant la prestation doit – sous réserve de la jurisprudence relative au réexamen ou à la révision procédurale – se laisser opposer ce second refus lors d’une nouvelle demande (ATF 130 V 71 consid. 3.2.3). La dernière évaluation matérielle du droit à la rente doit englober l’état de fait déterminant sur la modification duquel la nouvelle demande se fonde (arrêt du Tribunal fédéral 9C_235/2020 du 8 juillet 2020 consid. 3.1). Si seuls des aspects liés au revenu tiré d’une activité lucrative exercée par l’assuré ont guidé la dernière décision entrée en force, la question de savoir si une modification du degré d’invalidité due à l’état de santé s’est produite doit être examinée à la lumière de la décision antérieure la plus proche fondée sur les constatations de fait se rapportant à l’état de santé (arrêt du Tribunal fédéral 9C_899/2009 du 26 mars 2010 consid. 2.1).</w:t>
      </w:r>
    </w:p>
    <w:p>
      <w:r>
        <w:rPr>
          <w:b/>
        </w:rPr>
        <w:t>E. 4.2</w:t>
      </w:r>
    </w:p>
    <w:p>
      <w:r>
        <w:t>Constatant, en l’espèce, que l’instruction de la première demande sur le plan psychiatrique s’était close par le rapport SMR du 26 février 2018, le docteur H______, médecin SMR, a estimé dans son avis du 4 janvier 2022 que même si les éléments psychiatriques annoncés par le Dr E______ le 27 septembre 2019 étaient similaires à ceux que le SMR avait pris en compte le 26 février 2018, la mise sous curatelle du recourant en juillet 2020 rendait plausible une modification notable de sa santé psychique depuis 2018. S’agissant en revanche de la situation sur le plan somatique, les avis des 4 janvier et 11 juillet 2022 du Dr H______ citaient une nouvelle fois les conclusions de l’appréciation du 3 mai</w:t>
      </w:r>
    </w:p>
    <w:p>
      <w:r>
        <w:t>A/3702/2022 - 11/24 - 2019 du Dr C______, auxquelles ce médecin du SMR faisait déjà référence dans son avis du 7 janvier 2020. Or, sachant que l’OAI avait rendu sa décision du 29 juin 2020 sur la base de ce dernier avis, lequel ne tenait pas compte du dossier LAA postérieur au 3 mai 2019, notamment de l’appréciation du 3 février 2020 du Dr C______ qui avait été rendue à la lumière de nouveaux éléments, force est de constater que la décision du 29 juin 2020 ne repose pas sur un établissement des faits conforme au droit puisqu’il ne couvre pas entièrement le complexe de faits sur la modification duquel la demande de prestations du 11 septembre 2020 se fonde.</w:t>
      </w:r>
    </w:p>
    <w:p>
      <w:r>
        <w:rPr>
          <w:b/>
        </w:rPr>
        <w:t>E. 4.3</w:t>
      </w:r>
    </w:p>
    <w:p>
      <w:r>
        <w:t>En conséquence, la décision du 29 juin 2020 ne saurait constituer le point de comparaison déterminant pour apprécier si le recourant a rendu plausible une aggravation de son état de santé d’un point de vue somatique. Aussi – et de manière à tenir compte des éléments somatiques qui ont été ignorés dans la décision du 29 juin 2020 malgré la transmission préalable des rapports y relatifs par la SUVA à l’OAI – le SMR aurait-il dû prendre pour point de comparaison la décision du 7 mai 2018 pour apprécier si les éléments invoqués à l’appui de la demande du 11 septembre 2020 rendaient plausible une aggravation de l’état de santé physique. Sachant toutefois que l’office intimé est entré en matière sur la demande du 11 septembre 2020 après avoir estimé que le recourant avait rendu plausible une aggravation de son état de santé psychique, il aurait dû instruire tous les aspects – médicaux et juridiques notamment – de cette nouvelle demande, comme s’il se prononçait pour la première fois sur le droit aux prestations (cf. arrêt du Tribunal fédéral 9C_142/2012 du 9 juillet 2012 consid. 4 ; Michel VALTERIO, Loi fédérale sur l’assurance-invalidité [LAI], Commentaire, 2018, p. 507). Or, ceci n’a été effectué qu’en partie puisque l’évolution orthopédique postérieure à l’appréciation du 3 mai 2019 du Dr C______ n’a fait l’objet d’aucune mention de la part du SMR, ce qui se reflète dans la décision attaquée, notamment en tant qu’elle retient une capacité de travail entière dans une activité adaptée dès le 3 mai 2019, malgré le versement d’indemnités journalières par la SUVA jusqu’au 31 mars 2020.</w:t>
      </w:r>
    </w:p>
    <w:p>
      <w:r>
        <w:rPr>
          <w:b/>
        </w:rPr>
        <w:t>E. 4.4</w:t>
      </w:r>
    </w:p>
    <w:p>
      <w:r>
        <w:t>Sans préjudice de ce qui précède, il n’en reste pas moins nécessaire d’examiner ci-après (consid. 8) si au regard de l’expertise psychiatrique mise en œuvre – dont la valeur probante est contestée par le recourant – une aggravation de l’état de santé, propre à influencer le degré d’invalidité du recourant, est survenue depuis la décision du 7 mai 2018.</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w:t>
      </w:r>
    </w:p>
    <w:p>
      <w:r>
        <w:t>A/3702/2022 - 12/24 -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5.2.1</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la CIM ou le DSM-IV (ATF 143 V 409 consid. 4.5.2 ; ATF 141 V 281 consid. 2.1 et 2.1.1 ; ATF 130 V 396 consid. 5.3 et 6).</w:t>
      </w:r>
    </w:p>
    <w:p>
      <w:r>
        <w:rPr>
          <w:b/>
        </w:rPr>
        <w:t>E. 5.2.2</w:t>
      </w:r>
    </w:p>
    <w:p>
      <w:r>
        <w:t>Selon la jurisprudence constante du Tribunal fédéral, valable jusqu’à peu, une dépendance comme l’alcoolisme, la pharmacodépendance ou la toxicomanie ne constituait pas en soi une invalidité au sens de la loi. En revanche, elle jouait un rôle dans l’assurance-invalidité lorsqu’elle avait provoqué une atteinte à la santé physique ou mentale qui nuisait à la capacité de gain de l’assuré, ou si elle résultait elle-même d’une atteinte à la santé physique ou mentale qui avait valeur de maladie (ATF 99 V 28 consid. 2 ; VSI 2002 p. 32 consid. 2a, 1996 p. 319 consid. 2a).</w:t>
      </w:r>
    </w:p>
    <w:p>
      <w:r>
        <w:t>A/3702/2022 - 13/24 - Dans un arrêt rendu le 11 juillet 2019, le Tribunal fédéral a expliqué que cette jurisprudence partait du principe que l’assuré, souffrant de dépendance, avait provoqué lui-même fautivement cet état et qu’il aurait pu, en faisant preuve de diligence, se rendre compte suffisamment tôt des conséquences néfastes de la consommation de substances et s’en détourner ou à tout le moins entreprendre une thérapie (ATF 145 V 215 consid. 4.2 et la réf.). Dans cet arrêt, le Tribunal fédéral a modifié sa jurisprudence en ce sens que les syndromes de dépendance et les troubles liés à la consommation de substances (« Substanzkonsumstörungen »), diagnostiqués en bonne et due forme, ne sauraient se voir dénier d’emblée toute pertinence sous l’angle de l’assurance-invalidité mais doivent être considérés comme d’autres atteintes à la santé psychique pouvant entraîner une invalidité (ATF 145 V 215 précité consid. 5.3.3 et 6). Dès lors qu’il n’existe pas, en matière de syndromes de dépendance – comme pour la plupart des maladies (ATF 140 V 193 consid. 3.1) – de relation directe entre le diagnostic posé et l’incapacité de travail, respectivement l’invalidité, il est nécessaire de constater médicalement les conséquences de l’atteinte à la santé sur les possibilités de gain dans chaque cas particulier (art. 7 al. 2 LPGA ; ATF 145 V 215 consid. 6.1, renvoyant à l’ATF 143 V 409 consid. 4.2.1). Dans l’ATF 143 V 409, auquel se réfère l’ATF 145 V 215 précité, le Tribunal fédéral a modifié sa pratique en cas de troubles psychiques comme suit :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les troubles dépressifs de degré léger ou moyen (ATF 143 V 409 consid. 4.5.1). Et, depuis le revirement jurisprudentiel opéré le 11 juillet 2019, cette même procédure structurée d’administration des preuves s’applique également aux syndromes de dépendance et troubles liés à la consommation de substances, sans qu’il y ait lieu de faire de distinction entre leur caractère primaire ou secondaire (ATF 145 V 215 consid. 7 et 8.1). Par conséquent, il s’agit, comme pour tous les autres troubles psychiques, de déterminer selon une grille d’évaluation normative et structurée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w:t>
      </w:r>
    </w:p>
    <w:p>
      <w:r>
        <w:t>A/3702/2022 - 14/24 - LAI). S’il ne respecte pas son obligation de diminuer le dommage, mais qu’il maintient délibérément son état pathologique, l’art. 7b al. 1 LAI en lien avec l’art. 21 al. 4 LPGA permet le refus ou la réduction des prestations (ATF 145 V consid 5.3.1).</w:t>
      </w:r>
    </w:p>
    <w:p>
      <w:r>
        <w:rPr>
          <w:b/>
        </w:rPr>
        <w:t>E. 5.2.3</w:t>
      </w:r>
    </w:p>
    <w:p>
      <w:r>
        <w:t>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w:t>
      </w:r>
    </w:p>
    <w:p>
      <w:r>
        <w:t>A/3702/2022 - 15/24 -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w:t>
      </w:r>
    </w:p>
    <w:p>
      <w:r>
        <w:t>A/3702/2022 - 16/24 -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t>A/3702/2022 - 17/24 -</w:t>
      </w:r>
    </w:p>
    <w:p>
      <w:r>
        <w:rPr>
          <w:b/>
        </w:rPr>
        <w:t>E. 6.1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6.3.2</w:t>
      </w:r>
    </w:p>
    <w:p>
      <w:r>
        <w:t>Un rapport du SMR a pour fonction d’opérer la synthèse des renseignements médicaux versés au dossier, de prendre position à leur sujet et de prodiguer des recommandations quant à la suite à donner au dossier sur le plan médical. En tant</w:t>
      </w:r>
    </w:p>
    <w:p>
      <w:r>
        <w:t>A/3702/2022 - 18/24 -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6.3.3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7.1</w:t>
      </w:r>
    </w:p>
    <w:p>
      <w:r>
        <w:t>Le juge des assurances sociales fonde sa décision, sauf dispositions contraires de la loi, sur les faits qui, faute d’être établis de manière irréfutable, apparaissent</w:t>
      </w:r>
    </w:p>
    <w:p>
      <w:r>
        <w:t>A/3702/2022 - 19/24 -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w:t>
      </w:r>
    </w:p>
    <w:p>
      <w:r>
        <w:rPr>
          <w:b/>
        </w:rPr>
        <w:t>E. 7.2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8.1</w:t>
      </w:r>
    </w:p>
    <w:p>
      <w:r>
        <w:t>Dans son rapport d’expertise du 20 juin 2022, le Dr F______ a retenu en synthèse que faute de limitations fonctionnelles psychiatriques objectivables, le recourant présentait uniquement des diagnostics sans répercussion sur la capacité de travail, à savoir un trouble anxieux et dépressif mixte (F41.2) depuis fin 2018, un trouble de la personnalité émotionnellement labile (F60.3) depuis le début de l’âge adulte, un trouble de l’attention avec hyperactivité légère (F90) depuis l’enfance, et une dépendance à plusieurs substances (F19.2 ; « alcool utilisation continue et cocaïne actuellement abstinent »). Pour conclure au caractère non incapacitant des troubles évoqués, le Dr F______ a effectué une analyse des indicateurs jurisprudentiels pertinents et constaté que le recourant ne nécessitait pas d’aide significative durant « la journée type » avec des activités variées possibles et sans limitations (notamment lors de l’examen clinique), en dehors des moments où il buvait trop. En l’absence de limitations fonctionnelles objectivables depuis fin 2018 jusqu’à ce jour, selon l’anamnèse,</w:t>
      </w:r>
    </w:p>
    <w:p>
      <w:r>
        <w:t>A/3702/2022 - 20/24 - l’examen clinique et la journée-type, l’indice de gravité de l’atteinte à la santé était absent. S’agissant du traitement, l’évolution des troubles précités était globalement stationnaire depuis fin 2018 jusqu’à ce jour, sans un traitement psychotrope et sans sevrage éthylique, qui n’était pas exigible vu l’absence de limitations fonctionnelles au quotidien. Quant aux comorbidités psychiatriques précitées, elles n’entrainaient pas non plus de limitations fonctionnelles significatives et objectivables, selon l’anamnèse, l’examen clinique et la journée- type. Concernant l’axe « personnalité » (diagnostic de la personnalité, ressources personnelles), l’anamnèse révélait que le recourant présentait de longue date des comportements durables et stables nettement disharmonieux dans plusieurs secteurs de fonctionnement, ce qui permettait de retenir la présence d’un trouble de la personnalité émotionnellement labile de type impulsif. Bien que présent depuis le début de l’âge adulte, ce trouble n’avait pas empêché le recourant de gérer son quotidien et de travailler sans limitations. S’agissant du contexte social, il apparaissait, au moment de l’expertise, que le recourant présentait un isolement social partiel, mais pas total. En ce qui concernait l’aspect « cohérence », l’expert objectivait une cohérence moyenne entre plusieurs plaintes subjectives et le constat objectif, mais sans exagération volontaire des plaintes. Au moment de l’expertise, le recourant gardait des capacités et ressources personnelles suffisantes, sans nécessiter une aide significative au quotidien et sans limitations fonctionnelles psychiatriques significatives selon l’anamnèse, la journée-type et l’examen clinique. Aussi ne pouvait-on retenir de limitation uniforme du niveau des activités dans tous les domaines comparables de la vie. Enfin, le recourant présentait une motivation ambivalente pour une réadaptation professionnelle dans un contexte de déconditionnement, et une motivation nulle pour un traitement antidépresseur et un sevrage éthylique selon l’anamnèse. En conclusion, le Dr F______ a estimé que les indices jurisprudentiels de gravité n’étaient pas remplis depuis fin 2018 jusqu’à présent, en l’absence de limitations fonctionnelles psychiatriques significatives objectivables pour les diagnostics retenus. La chambre de céans constate que le rapport d’expertise du Dr F______ comporte une anamnèse complète et détaillée d’un point de vue médical, familial et personnel, une description du status sur la base de deux entretiens d’expertise, du dossier médical, ainsi que des plaintes et, enfin, que les conclusions sont cohérentes et motivées à la lumière des indicateurs jurisprudentiels pertinents. Il convient donc en principe d’en reconnaître la valeur probante.</w:t>
      </w:r>
    </w:p>
    <w:p>
      <w:r>
        <w:rPr>
          <w:b/>
        </w:rPr>
        <w:t>E. 8.2</w:t>
      </w:r>
    </w:p>
    <w:p>
      <w:r>
        <w:t>Le recourant soutient que pour arriver à la conclusion qu’il peut travailler 9h par jour dans une activité adaptée (i.e. une activité en adéquation avec le niveau d’acquisitions et « sans confrontation aux substances »), l’expert aurait tiré</w:t>
      </w:r>
    </w:p>
    <w:p>
      <w:r>
        <w:t>A/3702/2022 - 21/24 - argument des déclarations selon lesquelles il effectuerait lui-même ses courses et les tâches ménagères et qu’en conséquence, il pourrait travailler. Sans remettre en question la réalité de l’accomplissement de ces tâches et actes de la vie quotidienne, le recourant n’en estime pas moins que l’expert n’aurait pas tenu compte des troubles physiques dont il souffre et qu’en outre, il serait incohérent de prendre en compte une baisse de rendement de 30% seulement en cas de forte alcoolisation et de considérer ainsi qu’une consommation de 2 bouteilles de whisky par jour ne remplirait pas ce critère. Ces arguments ne sauraient être suivis. Il n’a, en effet, pas échappé à l’expert que le recourant estime ne pas être capable de retravailler au vu de la perception qui est la sienne (fatigabilité accrue, tremblement des mains qui l’empêchent d’exercer une activité en étant limité par ses douleurs). Cela étant, le Dr F______ n’en retient pas moins des discordances entre les activités possibles durant la journée-type étant donné que le recourant gère son quotidien sans difficultés objectivables « en dehors des activités lourdes physiquement » (rapport d’expertise, p. 27). Par cette dernière précision, le Dr F______ réserve certes les limitations fonctionnelles d’ordre physique mais il n’en constate pas moins, pour le domaine médical qui le concerne, que les divers troubles que l’assuré présente ne le privent pas de certaines ressources, comme en atteste le déroulement d’une journée-type. Dans le même ordre d’idées, il sied de relever que le recourant ne critique pas – à juste titre – le fait que le Dr F______ parvienne à la conclusion que d’un point de vue psychiatrique, l’activité antérieure de tôlier en carrosserie puisse toujours être exercée à plein temps, sous réserve d’une diminution de rendement de 30% « lors d’alcoolisations plus importantes ». En ce qui concerne ces dernières, il sied de constater que la dépendance à l’alcool remonte au début de l’âge adulte, qu’elle n’a pas été incapacitante (cf. expertise, p. 50) et qu’elle ne l’est pas non plus à partir de 2018. Le Dr F______ constate en effet, depuis lors, une évolution globalement stationnaire des troubles diagnostiqués jusqu’à la date de l’expertise, sans suivi psychiatrique ni sevrage, ni traitement psychotrope. Il ajoute qu’il n’existe pas d’exigibilité pour un traitement vu l’absence de limitations fonctionnelles significatives (expertise, p. 48-49), même s’il convient qu’un sevrage éthylique peut améliorer le pronostic d’une réinsertion professionnelle (cf. expertise, p. 53). Sachant par ailleurs que le recourant ne présentait pas de limitations objectivables lors de l’examen clinique (expertise, p. 27), malgré la consommation alléguée de 2 bouteilles de whisky par jour, qu’il fait la cuisine, le ménage, les courses et gère seul les tâches administratives (expertise, p. 25), il n’y pas d’incohérence dans le fait de retenir qu’une consommation d’alcool à la fois régulière et élevée n’exclurait pas des excès plus importants qui, eux seulement, s’ils se produisent, se répercutent de manière passagère sur le rendement au travail, la préservation de celui-ci étant la règle, à moins que les aspects somatiques du cas, qui ne sont pas du ressort de</w:t>
      </w:r>
    </w:p>
    <w:p>
      <w:r>
        <w:t>A/3702/2022 - 22/24 - l’expert psychiatre et restent à instruire (ci-dessus : consid. 4.2), n’aboutissent à d’autres conclusions.</w:t>
      </w:r>
    </w:p>
    <w:p>
      <w:r>
        <w:rPr>
          <w:b/>
        </w:rPr>
        <w:t>E. 8.3</w:t>
      </w:r>
    </w:p>
    <w:p>
      <w:r>
        <w:t>Dans un deuxième moyen, le recourant soutient que l’expertise réalisée serait lacunaire dans la mesure où le Dr F______ affirme lui-même n’avoir pas soumis le recourant au test de BECK, celui-ci permettant de mesurer la gravité subjective des symptômes dépressifs. Cette objection et la conclusion que le recourant en tire ne sauraient être suivies. La chambre de céans constate tout d’abord qu’à l’instar d’autres diagnostics au sens de la CIM-10, la recherche d’éventuels troubles dépressifs a été dûment investiguée (expertise, p. 31-34 et 44). Il importe de rappeler ensuite que la question de savoir si des examens médicaux spécialisés sont nécessaires pour établir un diagnostic et, le cas échéant, lesquels, ne sont pas du ressort de l’autorité chargée d’appliquer le droit, mais exclusivement de celui du médecin chargé de l’expertise (arrêt du Tribunal fédéral 8C_794/2018 du 15 juillet 2019 consid. 4.2 et la référence).</w:t>
      </w:r>
    </w:p>
    <w:p>
      <w:r>
        <w:rPr>
          <w:b/>
        </w:rPr>
        <w:t>E. 8.4</w:t>
      </w:r>
    </w:p>
    <w:p>
      <w:r>
        <w:t>S’agissant, enfin, de l’argument tiré d’une dégradation de l’évolution clinique depuis septembre 2019 (cf. rapport du 16 janvier 2021 du Dr E______), respectivement d’une incapacité de travail totale selon le Dr D______ (cf. rapport du 29 janvier 2021), il ne mérite pas que l’on s’y attarde, compte tenu d’un champ d’analyse qui, pour le Dr D______, ne concerne pas les aspects psychiques du cas et, pour le Dr E______, les dépasse, mais sans que ce médecin fasse état d’éléments objectivement vérifiables qui auraient été ignorés par l’expert psychiatre.</w:t>
      </w:r>
    </w:p>
    <w:p>
      <w:r>
        <w:rPr>
          <w:b/>
        </w:rPr>
        <w:t>E. 8.5</w:t>
      </w:r>
    </w:p>
    <w:p>
      <w:r>
        <w:t>Il résulte de ce qui précède que les arguments développés par le recourant – sur la base de l’état de fait tel qu’il se présentait au moment de la décision litigieuse (cf. ci-dessus : consid. 3) – ne sont pas de nature à remettre en cause les conclusions du rapport d’expertise du Dr F______. En conséquence, il est établi, au degré requis de la vraisemblance prépondérante, que sur le plan psychique, l’état de santé du recourant ne s’est pas aggravé depuis la décision du 7 mai 2018. Compte tenu toutefois du caractère lacunaire de l’instruction menée sur le plan somatique (cf. ci-dessus : consid. 4.2), la chambre de céans ne dispose pas, en l’état, d’assez d’éléments pour se prononcer sur une modification de l’état de santé qui serait propre à influencer le degré d’invalidité du recourant.</w:t>
      </w:r>
    </w:p>
    <w:p>
      <w:r>
        <w:rPr>
          <w:b/>
        </w:rPr>
        <w:t>E. 9</w:t>
      </w:r>
    </w:p>
    <w:p>
      <w:r>
        <w:t>Il convient donc d’admettre partiellement le recours, d’annuler la décision du 6 octobre 2022 et de renvoyer la cause à l’intimé pour qu’il en complète l’instruction et, cela fait, rende une nouvelle décision.</w:t>
      </w:r>
    </w:p>
    <w:p>
      <w:r>
        <w:rPr>
          <w:b/>
        </w:rPr>
        <w:t>E. 10</w:t>
      </w:r>
    </w:p>
    <w:p>
      <w:r>
        <w:t>Le recourant, représenté par son curateur, a droit à des dépens, qui seront fixés à CHF 1’500.- (art. 61 let. g LPGA). En effet, selon la jurisprudence, l’avocat désigné comme curateur qui mène avec succès le procès de son protégé peut prétendre à des dépens, s’il obtient gain de cause (ATF 124 V 338 consid. 4).</w:t>
      </w:r>
    </w:p>
    <w:p>
      <w:r>
        <w:t>A/3702/2022 - 23/24 -</w:t>
      </w:r>
    </w:p>
    <w:p>
      <w:r>
        <w:rPr>
          <w:b/>
        </w:rPr>
        <w:t>E. 11</w:t>
      </w:r>
    </w:p>
    <w:p>
      <w:r>
        <w:t>Au vu du sort du recours, il y a lieu de condamner l’intimé au paiement d’un émolument de CHF 200.- (art. 69 al. 1bis LAI).</w:t>
      </w:r>
    </w:p>
    <w:p>
      <w:r>
        <w:t>*****</w:t>
      </w:r>
    </w:p>
    <w:p>
      <w:r>
        <w:t>A/3702/2022 - 24/24 -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