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ATAS/319/2018 vom 29. März 2018</w:t>
      </w:r>
    </w:p>
    <w:p>
      <w:r>
        <w:t>GE Cour de justice, 2018-03-29, FR</w:t>
      </w:r>
    </w:p>
    <w:p>
      <w:r>
        <w:rPr>
          <w:b/>
        </w:rPr>
        <w:t xml:space="preserve">Quelle: </w:t>
      </w:r>
      <w:r>
        <w:t>https://mcp.opencaselaw.ch/entscheid/ge_gerichte_ATAS_319_2018</w:t>
      </w:r>
    </w:p>
    <w:p>
      <w:r>
        <w:t>FR: GE_GERICHTE ATAS/319/2018 du 29 mars 2018</w:t>
      </w:r>
    </w:p>
    <w:p>
      <w:r>
        <w:t>IT: GE_GERICHTE ATAS/319/2018 del 29 marzo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A/2410/2017 - 5/17 - contestations prévues à l'art. 43 de la loi cantonale sur les prestations complémentaires cantonales du 25 octobre 1968 (LPCC - J 4 25).</w:t>
      </w:r>
    </w:p>
    <w:p>
      <w:r>
        <w:rPr>
          <w:b/>
        </w:rPr>
        <w:t>E. 2</w:t>
      </w:r>
    </w:p>
    <w:p>
      <w:r>
        <w:t>Sa compétence pour juger du cas d’espèce est ainsi établie.</w:t>
      </w:r>
    </w:p>
    <w:p>
      <w:r>
        <w:rPr>
          <w:b/>
        </w:rPr>
        <w:t>E. 3</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w:t>
      </w:r>
    </w:p>
    <w:p>
      <w:r>
        <w:rPr>
          <w:b/>
        </w:rPr>
        <w:t>E. 5</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En l’espèce, le recours a été déposé dans les forme et délai prévus par la loi, de sorte qu’il est recevable.</w:t>
      </w:r>
    </w:p>
    <w:p>
      <w:r>
        <w:rPr>
          <w:b/>
        </w:rPr>
        <w:t>E. 6</w:t>
      </w:r>
    </w:p>
    <w:p>
      <w:r>
        <w:t>L’objet du litige porte sur la question de savoir si la prétention en restitution des prestations complémentaires versées par l’intimé est fondée pour la période du 1er décembre 2009 au 30 novembre 2016, et plus particulièrement sur le délai de prescription applicable.</w:t>
      </w:r>
    </w:p>
    <w:p>
      <w:r>
        <w:rPr>
          <w:b/>
        </w:rPr>
        <w:t>E. 7</w:t>
      </w:r>
    </w:p>
    <w:p>
      <w:r>
        <w:t>a. Selon l'art. 25 al. 1 1ère phrase LPGA, en relation avec l'art. 2 al. 1 let. a de l'Ordonnance sur la partie générale du droit des assurances sociales du</w:t>
      </w:r>
    </w:p>
    <w:p>
      <w:r>
        <w:rPr>
          <w:b/>
        </w:rPr>
        <w:t>E. 11</w:t>
      </w:r>
    </w:p>
    <w:p>
      <w:r>
        <w:t>Quant au délai de péremption absolu, il sied d’examiner si l’intimé est en droit de réclamer aux recourants les prestations indûment versées pour une période supérieure à cinq ans au motif que leur comportement est constitutif d’une infraction pénale prévoyant un délai de prescription plus long. 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1ère phrase LPGA (ATF 138 V 74 consid. 7; arrêt du Tribunal fédéral 8C_592/2007 du 10 août 2008 consid. 5.3). b. En matière de prestations complémentaires, ce sont principalement les infractions réprimées aux art. 146 du code pénal suisse du 21 décembre 1937 (CP - RS 311.0 ; escroquerie) et 31 LPC (art. 16 aLPC ; manquement à l’obligation de</w:t>
      </w:r>
    </w:p>
    <w:p>
      <w:r>
        <w:t>A/2410/2017 - 9/17 -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w:t>
      </w:r>
    </w:p>
    <w:p>
      <w:r>
        <w:rPr>
          <w:b/>
        </w:rPr>
        <w:t>E. 12</w:t>
      </w:r>
    </w:p>
    <w:p>
      <w:r>
        <w:t>En l’occurrence, l’intimé a appliqué le délai de péremption de sept ans, de sorte qu’il a considéré que les recourants ne se sont pas rendus coupables d'escroquerie. Rien ne justifie de s’écarter de cette appréciation, laquelle n’est pas remise en cause par les parties. Il convient dès lors d’examiner si les recourants ont manqué à leur obligation de communiquer. a. Jusqu’au 31 décembre 2007, l’art. 16 al. 1er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Selon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selon l'art. 31 al. 1 let. d LPC,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w:t>
      </w:r>
    </w:p>
    <w:p>
      <w:r>
        <w:t>A/2410/2017 - 10/17 - Cette obligation de renseigner vaut aussi pour les modifications concernant les membres de la famille de l’ayant droit.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 25 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11 consid. 2.4.6). c.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(ATF 131 IV 83).</w:t>
      </w:r>
    </w:p>
    <w:p>
      <w:r>
        <w:t>A/2410/2017 - 11/17 - Dans cet arrêt, la recourante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w:t>
      </w:r>
    </w:p>
    <w:p>
      <w:r>
        <w:rPr>
          <w:b/>
        </w:rPr>
        <w:t>E. 13</w:t>
      </w:r>
    </w:p>
    <w:p>
      <w:r>
        <w:t>a.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b.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c. Il y a négligence consciente lorsque l'auteur envisage le résultat dommageable comme possible, mais, faisant preuve d'une imprévoyance coupable, il escompte que ce résultat - qu'il refuse - ne se produira pas. Celui qui agit par dol éventuel</w:t>
      </w:r>
    </w:p>
    <w:p>
      <w:r>
        <w:t>A/2410/2017 - 12/17 -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d.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w:t>
      </w:r>
    </w:p>
    <w:p>
      <w:r>
        <w:rPr>
          <w:b/>
        </w:rPr>
        <w:t>E. 14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193consid. 2 et les références).</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16</w:t>
      </w:r>
    </w:p>
    <w:p>
      <w:r>
        <w:t>En l'occurrence, il est manifeste que les faits reprochés aux recourants - consistant en la non-déclaration d'un bien immobilier détenu par la recourante en Italie - réalisent les conditions objectives de l'infraction réprimée à l'art. 31 al. 1 let. a et d LPC. Les recourants font valoir que les conditions subjectives de cette infraction ne sont pas réalisées étant donné que les différents documents qui leur ont été remis semblaient viser uniquement la situation du recourant et non celle de son épouse. Ils ajoutent que le bien ne générait pas de revenu, assurent qu’ils ignoraient que son existence pouvait revêtir une quelconque importance d'ordre économique justifiant</w:t>
      </w:r>
    </w:p>
    <w:p>
      <w:r>
        <w:t>A/2410/2017 - 13/17 - une communication à l'intimé et affirment qu’ils n'avaient pas conscience que leur silence contrevenait à l'obligation de communiquer. Conformément à la jurisprudence précitée (ATF 140 IV 206), on ne saurait retenir que les documents remis par l'intimé ne visaient que la situation du recourant et non pas celle de son épouse. La demande d'information du 24 septembre 1997 concernant l'existence d'un bien immobilier a certes été adressée uniquement au recourant. Cela étant, il résulte clairement du formulaire de demande de prestations – que les deux recourants ont rempli et signé - que les informations demandées concernaient aussi bien la situation du recourant que celle de son épouse et de leurs enfants à charge. Qui plus est, à intervalles réguliers, le recourant a reçu des informations générales rappelant l'obligation de signaler toute modification de leur situation financière. Les recourants ne pouvaient donc ignorer l'importance que revêtait la communication de toute information d'ordre économique les concernant, soit en particulier l'existence d'un bien immobilier. Par ailleurs, les recourants prétendent qu'ils ignoraient que les biens immobiliers sis à l'étranger étaient également pertinents pour le calcul des prestations complémentaires. Or, on relèvera que la demande d'information du 24 septembre 1997 le mentionnait déjà. Qui plus est, les communications adressées par l'intimé en décembre 2014 et en décembre 2015 (pièces 76 et 80 chargé intimé) précisaient également l'obligation d'annoncer la fortune immobilière à l'étranger. Or, force est de constater que les recourants ne se sont pas manifestés à réception de ces courriers. En outre, les recourants n'ont pas réagi aux décisions adressées chaque année par l'intimé, percevant ainsi des prestations complémentaires et des subsides d'assurance-maladie établis sur la base d'un état de revenus et de patrimoine inexact. Par leur silence qualifié, les recourants ont dissimulé une part importante de leur fortune et maintenu l'intimé dans l'erreur. Il y ainsi lieu d'admettre que les recourants étaient conscients qu'ils retenaient des informations qu'ils avaient l'obligation de transmettre à l'intimé, se rendant ainsi coupables de l’infraction réprimée à l’art. 31 LPC. Le délai de péremption de plus longue durée prévu par le droit pénal, soit en l'occurrence sept ans, est par conséquent applicable. Quant aux protestations de bonne foi des recourants, elles ne leur sont d’aucun secours à ce stade de la procédure. La Cour de céans rappelle que cette question, de même que celle de la situation financière difficile dans laquelle ils se trouveraient s’ils devaient rembourser les montants perçus à tort, doit faire l'objet d'une demande de remise. Il n'appartient en effet pas à la Cour de céans de se prononcer, au stade de la décision de restitution, sur la bonne foi des recourants, ce critère ne pouvant être examiné, le cas échéant, que dans un deuxième temps, dans le cadre de la procédure de remise, qui fait l'objet d'une procédure distincte de la restitution (ATF 8C_602/2007 du 13 décembre 2007; ATF 132 V 42 consid. 1.2).</w:t>
      </w:r>
    </w:p>
    <w:p>
      <w:r>
        <w:t>A/2410/2017 - 14/17 -</w:t>
      </w:r>
    </w:p>
    <w:p>
      <w:r>
        <w:rPr>
          <w:b/>
        </w:rPr>
        <w:t>E. 17</w:t>
      </w:r>
    </w:p>
    <w:p>
      <w:r>
        <w:t>Dans ces conditions, l’intimé était fondé à réclamer les prestations complémentaires et les subsides d'assurance-maladie reçus sans droit rétroactivement au 1er décembre 2009.</w:t>
      </w:r>
    </w:p>
    <w:p>
      <w:r>
        <w:rPr>
          <w:b/>
        </w:rPr>
        <w:t>E. 18</w:t>
      </w:r>
    </w:p>
    <w:p>
      <w:r>
        <w:t>Quand bien même les recourants ne contestent plus, dans le cadre de leur recours, les montants pris en compte dans les calculs des prestations complémentaires, il y a lieu de relever ce qui suit.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Quant aux dépenses, elles comprennent notamment, selon l’art. 10 LPC, les frais d'entretien des bâtiments et les intérêts hypothécaires, jusqu'à concurrence du rendement brut de l'immeuble (al. 3 let. b).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(art. 6 LPCC).</w:t>
      </w:r>
    </w:p>
    <w:p>
      <w:r>
        <w:rPr>
          <w:b/>
        </w:rPr>
        <w:t>E. 19</w:t>
      </w:r>
    </w:p>
    <w:p>
      <w:r>
        <w:t>a.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Directives concernant les prestations complémentaires à l’AVS et à l’AI ; DPC). b.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w:t>
      </w:r>
    </w:p>
    <w:p>
      <w:r>
        <w:t>A/2410/2017 - 15/17 - raisonnablement possible de procéder à une autre estimation (arrêt du Tribunal fédéral 9C_540/2009 du 17 septembre 2009; ch. 3444.03 des DPC). c. Selon l’art. 16 al. 1 OPC-AVS/AI, une déduction forfaitaire prévue pour l'impôt cantonal direct dans le canton de domicile s'applique aux frais d'entretien des bâtiments. Cette déduction s’applique même si la personne n’habite pas le bien immobilier dont elle est propriétaire (ATAS/1122/2013 du 19 novembre 2013 consid. 16a et les références citées) et même si l’immeuble n’est pas situé dans le canton (ATAS/40 /2018 du 22 janvier 2018 consid. 10c).</w:t>
      </w:r>
    </w:p>
    <w:p>
      <w:r>
        <w:rPr>
          <w:b/>
        </w:rPr>
        <w:t>E. 20</w:t>
      </w:r>
    </w:p>
    <w:p>
      <w:r>
        <w:t>Enfin,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 VSI 1996 p. 212). Dans un récent arrêt de principe, le Tribunal fédéral a toutefois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21</w:t>
      </w:r>
    </w:p>
    <w:p>
      <w:r>
        <w:t>En l'occurrence, étant donné que l'intimé a procédé à un calcul rétroactif des prestations complémentaires sur une période remontant jusqu’au 1er décembre 2009, la Cour de céans est d'avis qu'il ne pouvait se contenter d'une estimation de la valeur du bien immobilier effectuée le 15 septembre 2016, soit près de sept ans plus tard. L'intimé aurait donc dû requérir une estimation de la valeur du marché du bien immobilier en 2009 ainsi que la variation de cette valeur pour les années suivantes. Qui plus est, force est de constater que l’intimé a omis de prendre en considération dans les plans de calculs, à titre de dépenses, le montant forfaitaire des frais d’entretien des bâtiments, en application des art. 10 al. 1 let. c LPC et 16 al. 1 OPC- AVS/AI, étant rappelé que cette déduction est applicable même si le bien immobilier est situé à l’étranger. Au vu des développements qui précèdent, il convient de renvoyer la cause à la l’intimé pour qu'il fasse procéder à une estimation de la valeur du bien immobilier en 2009 et à une estimation de la variation de cette valeur pour les années suivantes,</w:t>
      </w:r>
    </w:p>
    <w:p>
      <w:r>
        <w:t>A/2410/2017 - 16/17 - puis statue à nouveau sur le droit aux prestations complémentaires dès le 1er décembre 2009, en prenant en considération le montant forfaitaire des frais d'entretien des bâtiments.</w:t>
      </w:r>
    </w:p>
    <w:p>
      <w:r>
        <w:rPr>
          <w:b/>
        </w:rPr>
        <w:t>E. 22</w:t>
      </w:r>
    </w:p>
    <w:p>
      <w:r>
        <w:t>Compte tenu de ce qui précède, le recours est partiellement admis. La décision sur opposition querellée doit être annulée et la cause renvoyée à l'intimé pour instruction complémentaire et nouvelle décision. Pour le surplus, la procédure est gratuite (art. 61 LPGA ; art. 89H al. 1 LPA).</w:t>
      </w:r>
    </w:p>
    <w:p>
      <w:r>
        <w:t>A/2410/2017 - 17/17 -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