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ATAS/319/2014 vom 19. März 2014</w:t>
      </w:r>
    </w:p>
    <w:p>
      <w:r>
        <w:t>GE Cour de justice, 2014-03-19, FR</w:t>
      </w:r>
    </w:p>
    <w:p>
      <w:r>
        <w:rPr>
          <w:b/>
        </w:rPr>
        <w:t xml:space="preserve">Quelle: </w:t>
      </w:r>
      <w:r>
        <w:t>https://mcp.opencaselaw.ch/entscheid/ge_gerichte_ATAS_319_2014</w:t>
      </w:r>
    </w:p>
    <w:p>
      <w:r>
        <w:t>FR: GE_GERICHTE ATAS/319/2014 du 19 mars 2014</w:t>
      </w:r>
    </w:p>
    <w:p>
      <w:r>
        <w:t>IT: GE_GERICHTE ATAS/319/2014 del 19 marzo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Par ailleurs, lorsque l'assuré est domicilié à l'étranger, comme en l’espèce, le tribunal compétent est celui du canton de son dernier domicile en Suisse ou celui du canton de domicile de son dernier employeur en Suisse (art. 58 al. 2 LPGA). En l'espèce, le dernier employeur du recourant, qui réside en France, a son siège social à Genève. La compétence de la Cour de céans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L'événement assuré étant survenu le 19 juin 2012, la LPGA s’applique au cas d’espèce.</w:t>
      </w:r>
    </w:p>
    <w:p>
      <w:r>
        <w:rPr>
          <w:b/>
        </w:rPr>
        <w:t>E. 3</w:t>
      </w:r>
    </w:p>
    <w:p>
      <w:r>
        <w:t>Interjeté dans la forme prévue par la loi, le recours du 14 août 2013 contre la décision sur opposition du 29 juillet 2013 est recevable (cf. art. 56 et 60 LPGA).</w:t>
      </w:r>
    </w:p>
    <w:p>
      <w:r>
        <w:t>A/2644/2013 - 10/16 -</w:t>
      </w:r>
    </w:p>
    <w:p>
      <w:r>
        <w:rPr>
          <w:b/>
        </w:rPr>
        <w:t>E. 4</w:t>
      </w:r>
    </w:p>
    <w:p>
      <w:r>
        <w:t>Le litige porte sur la question de savoir si les troubles dont souffre le recourant au genou gauche sont en lien de causalité avec l'accident survenu le 19 juin 2012.</w:t>
      </w:r>
    </w:p>
    <w:p>
      <w:r>
        <w:rPr>
          <w:b/>
        </w:rPr>
        <w:t>E. 5</w:t>
      </w:r>
    </w:p>
    <w:p>
      <w:r>
        <w:t>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(ATF non publié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b)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w:t>
      </w:r>
    </w:p>
    <w:p>
      <w:r>
        <w:t>A/2644/2013 - 11/16 - b. Les déboîtements d'articulations; c. Les déchirures du ménisque; d. Les déchirures de muscles; e. Les élongations de muscles; f. Les déchirures de tendons; g. Les lésions de ligaments; h. Les lésions du tympan. Cette liste est exhaustive (ATF 116 V 136 consid. 4a, 145 consid. 2b).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123 V 43 consid. 2b). Il faut qu'un facteur extérieur soit une cause possible de la lésion, au moins à titre partiel, pour qu'une lésion assimilée à un accident soit admise (ATF non publié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(ATF non publié 8C_357/2007 du 31 janvier 2008, consid. 2 et les références citées).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 8C_698/2007 du 27 octobre 2008, consid. 4.2 et les références citées; ATF non publié 8C_357/2007 du 31 janvier 2008, consid. 3.2).</w:t>
      </w:r>
    </w:p>
    <w:p>
      <w:r>
        <w:t>A/2644/2013 - 12/16 -</w:t>
      </w:r>
    </w:p>
    <w:p>
      <w:r>
        <w:rPr>
          <w:b/>
        </w:rPr>
        <w:t>E. 6</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A/2644/2013 - 13/16 -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n'est pas contesté par les parties que le recourant présente une rupture du ligament croisé antérieur au genou gauche. Dès lors qu'il s'agit d'une lésion du ligament au sens de l'art. 9 al. 2 let. g OLAA, cette atteinte est susceptible d'être reconnue comme lésion corporelle assimilée à un accident pour autant que l'accident du 19 juin 2012 en soit en partie à l'origine. En se référant au rapport établi par le Dr N__________ le 28 juin 2013, l'intimé a considéré que l'atteinte diagnostiquée n'est pas en lien de causalité naturelle avec l'accident. La Cour de céans est d'avis toutefois que les conclusions auxquelles aboutit ce médecin ne convainquent pas, et ce pour plusieurs motifs. Le Dr N__________ considère que le lien de causalité entre la lésion au genou gauche et la "chute d'une dalle au niveau des cervicales" est exclu. Or, s'agissant du déroulement exact de l'accident, si la déclaration établie par l'employeur le 22 juin 2012 fait certes uniquement état d'une pointelle tombée sur le dos du recourant, il résulte toutefois des explications donnée par le recourant - avant que la question de l'atteinte au genou gauche ne devienne litigieuse entre les parties - qu'en recevant sur le dos la pointelle de 70-80 kg et un plateau de bois, il avait chuté en avant (rapport des HUG du 6 août 2012) et que le poids de la pointelle et du plateau l'avaient compressé au sol et un de ses collègues avait dû les enlever car ils étaient sur son dos (rapport d'entretien du 16 novembre 2012). Par la suite, le recourant a réitéré ses explications en exposant qu'il avait reçu une pointelle d'environ 70 kg sur le dos qui l'avait propulsé en avant, son genou gauche s'était alors tordu vers l'extérieur et le recourant était tombé avec choc direct sur son genou gauche (entretien téléphonique du 19 juin 2013). Il s'ensuit que le Dr N__________ s'est déterminé sur le lien de causalité entre l'accident et la lésion au genou gauche, en se limitant à la chute d'une dalle au niveau des cervicales du recourant, sans prendre en considération le fait que le recourant a chuté en avant. Par ailleurs, le Dr N__________ relève que ni le rapport des HUG du 6 août 2012, ni celui du Dr M__________ du 7 décembre 2012 ne font état d'une atteinte au genou gauche. S'il apparaît effectivement que les constatations médicales consignées dans ces rapports ne font pas état de troubles au genou gauche, la teneur de ces deux rapports - dont on relèvera au demeurant le caractère peu détaillé - ne suffit pas encore à retenir, au degré de la vraisemblance prépondérante, l'absence de douleurs au genou gauche dans les suites de l'accident. En effet, le Dr</w:t>
      </w:r>
    </w:p>
    <w:p>
      <w:r>
        <w:t>A/2644/2013 - 14/16 - M__________ a attesté que le recourant s'est plaint dès la première consultation, soit dès le 21 août 2012, de douleurs au genou gauche suite à sa chute, mais les symptômes paraissaient alors peu importants par rapport à la douleur dorsale, qui était sa plainte principale. A l'examen, le Dr M__________ n'avait pas senti la laxité, ce qui pouvait s'expliquer par le fait que le recourant était très contracté à cause de sa douleur. Les symptômes au genou s'étaient faits plus intenses lorsque la douleur dorsale avait diminué, motivant ainsi une IRM le 11 février 2013 (rapports du Dr M__________ des 7 et 8 août 2013). Qui plus est, contrairement à ce que relève le Dr N__________ dans son rapport du 28 juin 2013, le recourant a expliqué lors de son entretien avec l'intimée le 16 novembre 2012 – soit bien avant que la question de l'atteinte au genou gauche ne devienne litigieuse - que lorsque l'accident est survenu, il avait horriblement mal de partout au dos, aux cervicales et au genou gauche (rapport d'entretien du 16 novembre 2012, page 2, 1er paragraphe). Pour l'ensemble de ces motifs, le rapport du Dr N__________ n'emporte pas la conviction, de sorte qu'il ne peut se voir reconnaître pleine valeur probante. La Cour de céans constate par ailleurs qu'aucune autre pièce versée au dossier ne permet d'exclure un lien de causalité entre la chute du 19 juin 2012 et l'atteinte au genou gauche en cause. Aucune pièce ne démontre que la lésion ligamentaire serait manifestement imputable à une maladie ou à des phénomènes dégénératifs, auquel cas celle-ci ne pourrait être assimilée à un accident. Le recourant fait, quant à lui, valoir que l'accident du 19 juin 2012 serait à l'origine de l'atteinte diagnostiquée à son genou gauche, en se référant à l'appréciation du Dr M__________. Si le Dr M__________ est certes d'avis qu'un lien de causalité existe entre l'accident et la rupture du ligament croisé antérieur (rapports des 25 juin, 7 et 8 août 2013), la Cour de céans ne saurait toutefois statuer uniquement sur la base des rapports établis par le Dr M__________, dont l'appréciation, émise en qualité de médecin traitant, doit être abordée avec précaution. Force est dès lors de constater, qu'en l'état actuel, le dossier ne contient pas d’informations fiables et suffisantes permettant une appréciation adéquate de la situation médicale du recourant, de sorte qu’il convient de renvoyer la cause à l'intimée, afin qu'elle complète l'instruction, en particulier par la mise en œuvre d'une expertise orthopédique, selon la procédure prévue par l'art. 44 LPGA, afin de déterminer si l'atteinte au genou gauche du recourant peut être imputable, au moins partiellement, à l'évènement du 19 juin 2012 ou si elle est d'origine exclusivement maladive.</w:t>
      </w:r>
    </w:p>
    <w:p>
      <w:r>
        <w:rPr>
          <w:b/>
        </w:rPr>
        <w:t>E. 9</w:t>
      </w:r>
    </w:p>
    <w:p>
      <w:r>
        <w:t>Au vu de ce qui précède, le recours doit être admis en ce sens que la décision du 22 février 2013 et la décision sur opposition du 29 juillet 2013 sont annulées en tant qu'elles nient le droit du recourant à des prestations pour son atteinte au genou gauche.</w:t>
      </w:r>
    </w:p>
    <w:p>
      <w:r>
        <w:t>A/2644/2013 - 15/16 -</w:t>
      </w:r>
    </w:p>
    <w:p>
      <w:r>
        <w:rPr>
          <w:b/>
        </w:rPr>
        <w:t>E. 10</w:t>
      </w:r>
    </w:p>
    <w:p>
      <w:r>
        <w:t>Le recourant obtenant partiellement gain de cause, une indemnité de 1'500 fr. lui sera accordée à titre de participation à ses frais et dépens (art. 61 let. g LPGA et 89H LPA).</w:t>
      </w:r>
    </w:p>
    <w:p>
      <w:r>
        <w:rPr>
          <w:b/>
        </w:rPr>
        <w:t>E. 11</w:t>
      </w:r>
    </w:p>
    <w:p>
      <w:r>
        <w:t>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