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ATAS/319/2007 vom 26. März 2007</w:t>
      </w:r>
    </w:p>
    <w:p>
      <w:r>
        <w:t>GE Cour de justice, 2007-03-26, FR</w:t>
      </w:r>
    </w:p>
    <w:p>
      <w:r>
        <w:rPr>
          <w:b/>
        </w:rPr>
        <w:t xml:space="preserve">Quelle: </w:t>
      </w:r>
      <w:r>
        <w:t>https://mcp.opencaselaw.ch/entscheid/ge_gerichte_ATAS_319_2007</w:t>
      </w:r>
    </w:p>
    <w:p>
      <w:r>
        <w:t>FR: GE_GERICHTE ATAS/319/2007 du 26 mars 2007</w:t>
      </w:r>
    </w:p>
    <w:p>
      <w:r>
        <w:t>IT: GE_GERICHTE ATAS/319/2007 del 26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l’article 56 de la loi fédérale sur la partie générale du droit des assurances sociales du</w:t>
      </w:r>
    </w:p>
    <w:p>
      <w:r>
        <w:t>A/4169/2006 - 8/18 -</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w:t>
      </w:r>
    </w:p>
    <w:p>
      <w:r>
        <w:t>A/4169/2006 - 9/18 -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vertu de l'art. 28 al. 1 LAI (dans sa nouvelle teneur), l’assuré a droit à une rente entière s’il est invalide à 70 % au moins, à un trois-quarts de rente s’il est invalide à 60 % au moins, à une demi-rente s’il est invalide à 50 % au moins, ou à un quart de rente s’il est invalide à 40 %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d)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w:t>
      </w:r>
    </w:p>
    <w:p>
      <w:r>
        <w:rPr>
          <w:b/>
        </w:rPr>
        <w:t>E. 6.1</w:t>
      </w:r>
    </w:p>
    <w:p>
      <w:r>
        <w:t>et les références citées). En l'espèce, les pièces médicales versées au dossier permettent de statuer en pleine connaissance de cause sur le présent litige, si bien que la mise en oeuvre d'une expertise supplémentaire s'avère superflue par appréciation anticipée des preuves. Au demeurant, contrairement à ce que prétend à tort la recourante, l'élément déterminant pour la valeur probante n'est ni l'origine du moyen de preuve ni sa désignation comme rapport ou comme expertise, mais bel et bien son contenu (ATF 125 V 352 consid. 3a,122 V 160 consid. 1c et les référen- ces). 11.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il convient, en règle générale, de se référer au dernier salaire que l'assuré a obtenu avant l'atteinte à la santé, qui équivaut normalement à une prestation de travail correspondante. Pour cette raison,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(ATF 129 V 222 consid. 4; ATFA non publié du 10 décembre 2001, I 320/01, consid 2b).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w:t>
      </w:r>
    </w:p>
    <w:p>
      <w:r>
        <w:t>A/4169/2006 - 16/18 - exigible de sa part, le revenu d'invalide peut être évalué sur la base, notamment, des données salariales publiées par l'Office fédéral de la statistique (ATF 126 V 75. consid. 3b/bb). On se réfère alors à la statistique des salaires bruts standardisés, en se fondant toujours sur la médiane ou valeur centrale. (ATF 124 V 321).</w:t>
      </w:r>
    </w:p>
    <w:p>
      <w:r>
        <w:rPr>
          <w:b/>
        </w:rPr>
        <w:t>E. 7</w:t>
      </w:r>
    </w:p>
    <w:p>
      <w:r>
        <w:t>a)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w:t>
      </w:r>
    </w:p>
    <w:p>
      <w:r>
        <w:t>A/4169/2006 - 10/18 -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La recourante soutient ne pas pouvoir exercer une quelconque activité professionnelle et conteste les conclusions du rapport des médecins du SMR. Quant à l'intimé, il considère que ledit rapport du SMR a pleine valeur probante et que, puisqu'il retient une capacité de travail de 100% tant dans l'activité exercée jusqu'ici que dans une activité adaptée, la recourante n'a pas droit à une rente d'invalidité. En conséquence, il y a lieu d'examiner si l'intimé était fondé, sur le vu des données médicales réunies au dossier, à admettre une capacité de travail résiduelle de 100% tant dans l'activité habituelle que dans une activité adaptée.</w:t>
      </w:r>
    </w:p>
    <w:p>
      <w:r>
        <w:rPr>
          <w:b/>
        </w:rPr>
        <w:t>E. 9</w:t>
      </w:r>
    </w:p>
    <w:p>
      <w:r>
        <w:t>Dans leur rapport du 4 août 2006, les médecins du SMR ont diagnostiqué, d'une part, avec répercussion sur la capacité de travail, des cervico-dorso-lombalgies chroniques (M. 54.2), une hernie discale L5-S1 avec arthrose postérieure L5-S1 (M. 54.6), une protrusion discale C3-C4 (M. 51.2), des douleurs chroniques au niveau des deux pieds, un status après arthrodèse sous-astragalienne et</w:t>
      </w:r>
    </w:p>
    <w:p>
      <w:r>
        <w:t>A/4169/2006 - 11/18 - médiotarsienne à gauche, un status après arthroplastie selon Brandes des deux gros orteils, un status après mise en place d'une prothèse de l'articulation MP1 à gauche luxée et, d'autre part sans répercussion sur la capacité de travail, un trouble de l'adaptation avec réaction dépressive prolongée (F. 43.21), de l'acné rosacé et un status après pancréatite sur micro-calculs biliaires. Lors de son examen clinique psychiatrique, le Dr G__________ a constaté un sentiment de dévalorisation lié à l'état de santé ainsi que des troubles du sommeil caractérisés par de fréquents réveils dus à la douleur. Il a expliqué que le trouble de l'adaptation n'était pas une maladie psychiatrique invalidante. Après examen de l'assurée et de son dossier radiologique, les médecins du SMR ont considéré qu'elle était apte à travailler dans une activité adaptée aux limitations fonctionnelles et que le métier de contrôleuse de qualité chez l'ancien employeur était parfaitement adapté aux limitations fonctionnelles. Ils ont conclu à une capacité de travail exigible de 100% dans l'activité habituelle et de 100% dans une activité adaptée. Le rapport des médecins du SMR se base sur un examen clinique de la recourante et un entretien psychologique. Il prend également en considération les plaintes exprimées par la recourante et a été établi en pleine connaissance de l'anamnèse, du dossier médical ainsi que radiologique. La description de la situation médicale et son appréciation sont claires. Les médecins du SMR se sont exprimés sur l'évolution de l'état de santé, sur la capacité de travail et ont dûment motivé leur point de vue. Leurs conclusions sont cohérentes et convaincantes, en tant que, notamment, elles reposent sur des constatations objectives seules pertinentes dans ce type d'appréciation. La recourante dénie cependant au rapport des médecins du SMR une pleine valeur probante, estimant qu'il est incomplet et que les experts donnent d'elle-même et de son état de santé une image qui ne correspond pas à la réalité. Implicitement, la recourante invoque la prévention des experts.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353 consid. 3b/ee, 123 V 176 consid. 3d et l'arrêt cité; VSI 2001 p. 109 ss. consid. 3b/ee; RAMA 1999 n° U 332 p. 193 consid. 2a/bb et les références). De plus l'impartialité subjective se présume jusqu'à preuve du contraire, de sorte qu'il ne suffit pas au recourant d'alléguer une prétendue partialité, mais il lui appartient</w:t>
      </w:r>
    </w:p>
    <w:p>
      <w:r>
        <w:t>A/4169/2006 - 12/18 - d'apporter la preuve contraire établissant la prévention effective (cf. ATFA non publié du 16 janvier 2002, I 157/01, consid. 1f). En l'espèce, la recourante soutient que les experts ont commis des omissions et ont donné des éclairages partiels sur des aspects de sa vie contribuant à donner d'elle- même l'image d'une personne qui a vécu principalement d'assurances sociales et d'inactivité. Contrairement à ce que prétend la recourante, il ne ressort pas du rapport des médecins du SMR que la recourante était oisive et assistée de sorte que le reproche de prévention est infondé, car il ressort des seules impressions de la recourante, sans reposer sur des éléments objectifs. La recourante allègue également que le rapport des médecins du SMR passe sous silence tant son état d'épuisement et de dépression réactionnelle diagnostiqué par la Dresse H__________ que la luxation de sa prothèse au pied droit impliquant une nouvelle opération. Dans son certificat du 12 septembre 2006, la Dresse H__________ diagnostique un état dépressif réactionnel aux douleurs incessantes. Or, les médecins du SMR ont tenu compte des plaintes de la recourante et n'ont pas considéré qu'elle présentait un trouble psychique ayant une incidence sur la capacité de travail, ce qui est d'ailleurs confirmé par le rapport de la Dresse B__________ du 20 octobre 2006 qui précise que, pour le moment, la pathologie psychiatrique n'a pas de répercussion sur la capacité de travail. Or, même s'il fallait admettre le diagnostic posé par la Dresse H__________, en appliquant par analogie la pratique en matière de trouble somatoforme douloureux et de fibromyalgie, il ressort que les troubles dépressifs réactionnels ne présentent pas de caractère invalidant (ATF 130 V 358 consid. 3.3.1; ATFA non publié du 2 mars 2005, I 690/04, consid. 6.1). Quant à la luxation de la prothèse, contrairement à ce qu'affirme à tort la recourante, les médecins du SMR la mentionnent dans leur rapport puisqu'ils diagnostiquent, notamment, un status après mis en place d'une prothèse de l'articulation MP1 à gauche luxée. De plus, dans leur appréciation consensuelle du cas, ils précisent que les résultats anatomiques et fonctionnels des diverses opérations des pieds sont peu satisfaisants ce qui démontre également qu'ils ont tenu compte de cette séquelle. La recourante prétend de plus que les médecins du SMR n’ont pas, d'une part, pris en considération sa scoliose et ses douleurs pendant l'examen, d'autre part, apprécié correctement ses limitations fonctionnelles, notamment le port de charges supérieures à deux kilos et ses difficultés de déplacement. Enfin, elle leur reproche d'avoir nié l'aspect mécanique de sa pathologie. Dans son rapport du 6 novembre 2006, la Dresse I__________, a diagnostiqué des troubles statiques importants du rachis dorsolombaire sous forme de scoliose et de structure. Il ressort de ce rapport médical que la rhumatologue a attesté une</w:t>
      </w:r>
    </w:p>
    <w:p>
      <w:r>
        <w:t>A/4169/2006 - 13/18 - incapacité de travail en se fondant essentiellement sur des données subjectives telles que les douleurs invoquées par l'assurée sans préciser dans quelle mesure celles-ci étaient corroborées par les constatations objectives qu'elle avait pu effectuer (cf. ATFA non publiés du 12 juillet 2005, I 366/05 et du 14 septembre 2005, I 808/04, consid. 4.2). En conséquence, son appréciation ne permet pas de remettre en question le rapport des médecins du SMR. Dans leur rapport du 4 août 2006, les Drs F__________ et G__________ ont tenu compte des douleurs invoquées par la recourante, puisqu'ils ont précisé que l'assurée se plaignait de douleurs journalières de type lancées au niveau des deux pieds l'empêchant de marcher à plat plus de trente minutes ainsi que de cervico- dorso-lombalgies qui la réveillaient souvent et qui augmentaient d'intensité après une marche de plus de trente minutes. Ils ont ajouté que, selon la recourante, d'une part, les cervicalgies étaient constantes, d'une intensité importante et irradiaient vers l'épaule droite ainsi que vers la face latérale du bras droit, d'autre part, les douleurs dorsales et lombaires étaient continuelles ainsi qu'importantes avec parfois des sciatalgies à gauche. En réalité, contrairement aux divers médecins traitants, les médecins du SMR ont relativisé l'intensité des douleurs décrites en se fondant sur le résultat des examens auxquels ils ont procédé et sur le dossier radiologique, soit sur des éléments objectifs d'appréciation seuls pertinents (cf. ATFA du 12 juillet 2005, I 366/05). Quant aux limitations fonctionnelles, en indiquant que la recourante devait exercer un travail sédentaire, mais que de courts déplacements à plat étaient possibles, et qu'elle devait éviter de marcher en terrain irrégulier, de monter et descendre les escaliers ainsi que les pentes, les médecins du SMR ont tenu compte des difficultés de déplacements invoquées par la recourante. Ils ont également considéré qu'elle pouvait porter des objets d'un poids jusqu'à dix kilos ce que la recourante conteste. Le seul autre médecin qui s'est prononcé sur les limitations fonctionnelles est le Dr BARRAZONE, qui, dans son rapport du 10 mars 2006, a admis que la recourante pouvait porter ou déplacer des charges de dix kilos de façon non répétitive. En conséquence, il n'y a pas de divergence entre les divers médecins qui se sont prononcés à ce sujet et aucun médecin ne confirme que la recourante ne pourrait pas porter des charges supérieures à deux kilos de sorte qu'elle ne peut pas contester cette évaluation. La recourante relève que les médecins du SMR ont nié le caractère mécanique de sa pathologie et conteste également avoir souffert d'une malformation congénitale des pieds. Or, dans leur rapport, les experts mentionnent dans l'anamnèse actuelle générale que, dès l'âge de 20 ans, l'assurée a souffert de douleurs de type mécanique aux deux pieds et qu'actuellement, elle se plaint de douleurs de type lancées. Un peu plus loin, ils précisent que les douleurs ne sont pas de type mécanique. De plus, ces précisions, en tant qu'elles apparaissent dans la rubrique "anamnèse", ressortent des indications données par la recourante auxdits médecins. Au demeurant, le</w:t>
      </w:r>
    </w:p>
    <w:p>
      <w:r>
        <w:t>A/4169/2006 - 14/18 - Tribunal de céans ne voit pas en quoi le type de douleurs, à savoir mécanique ou lancées a une quelconque incidence sur l'appréciation par les médecins du SMR de la capacité résiduelle de travail raisonnablement exigible de la part de la recourante qui est seule déterminante dans le présent litige. En effet,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le débat médical relatif à la dénomination diagnostique la mieux appropriée pour décrire l'état de souffrance du patient se révèle dans ce contexte plutôt secondaire (A__________-BLASER, Der Rechtsbegriff der Arbeitsunfähigkeit und seine Bedeutung in der Sozialversicherung, in : Schmerz und Arbeitsunfähig-keit, St. Gall 2003, p. 64, note 93). On rappellera qu'un diagnostic est une condition juridique nécessaire, mais non suffisante pour conclure à une atteinte à la santé invalidante (cf. ATF 131 V 50 consid. 1.2, 130 V 353 consid. 2.2.3; ATFA non publié du 13 mars 2006, I 134/05, consid. 3.2.1.3). Quant à l'origine de l'affection des pieds, les médecins du SMR relèvent qu'elle est inconnue, mais qu'il s'agit probablement de synostose congénitale des arrières pieds. Il ne s'agit pas d'une erreur des experts, mais bien d'une indication donnée par le Dr A__________ dans son rapport du 21 décembre 1998 retenant un diagnostic de status après double arthrodèse sous-astragalienne et médio-tarsienne gauche sur synostose congénitale. La recourante soutient, enfin, que les experts ont prétendu à tort que le poste de contrôleuse de qualité tenait compte des limitations fonctionnelles énumérées. Elle expose qu'au contraire, dans cette activité, elle devait rester penchée en avant et adopter une position en porte-à-faux pendant plusieurs heures ainsi que porter des caisses en montant et descendant des escaliers. Il est vrai que, dans son rapport du</w:t>
      </w:r>
    </w:p>
    <w:p>
      <w:r>
        <w:rPr>
          <w:b/>
        </w:rPr>
        <w:t>E. 12</w:t>
      </w:r>
    </w:p>
    <w:p>
      <w:r>
        <w:t>En application de l'art. 29 al. 1 let. b LAI, pour procéder à la comparaison des revenus, il convient de se placer en 2005 puisque, dans leur rapport du 4 août 2006, les médecins du SMR ont admis une incapacité de travail d'au moins 20% depuis le 1er avril 2004 et que l'annonce de la recourante à l'OCAI date du 17 mai 2005. En l'espèce, la recourante émargeait au personnel de X__________ SA jusqu'au 14 avril 2006 et, en 2005, elle avait un revenu annuel de 61'260 fr. Pour ce qui est du revenu d'invalide, il importe de préciser que la recourante n'a repris aucune activité professionnelle. Dès lors, il faut se référer aux données de l'Enquête suisse sur la structure des salaires. Une activité simple et répétitive dans le secteur privé pour une femme (niveau de qualification 4) donnait droit en 2004 (ESS 2004, Tableau TA1, valeur médiane, tous secteurs confondus, part au 13ème salaire comprise) à un revenu de 46'716 fr. (3'893 x 12). De plus, le revenu statistique 2004 doit être adapté, d'une part, à l'horaire de travail de 2005 puisque les salaires bruts standardisés sont fondés sur un horaire de travail de quarante heures, soit une durée hebdomadaire inférieure à la moyenne usuelle dans les entreprises en 2005 et, d'autre part, à l'augmentation des salaires nominaux en 2005 en appliquant l’indice relatif aux hommes ou aux femmes (ATF 129 V 410 consid. 3.1.2). L'indice des salaires nominaux pour les femmes a progressé de 1.1% entre 2004 et 2005 (table T1.39) et le temps de travail en 2005 était de 41.6 heures par semaine (table T2.5.2), ce qui donne un revenu annuel de 49'119 fr. 10 (46'716 + 1.1% = 47'229.90 x 41.6 : 40). Même dans une activité adaptée à savoir sédentaire, la recourante doit éviter certaines tâches telles que le port de charges de plus de dix kilos, monter et descendre les escaliers, les activités ne permettant pas l'alternance des positions assise et debout, la position penchée en avant et le travail en porte-à- faux. En conséquence, elle a droit à une déduction qu'il convient de fixer à 10% en raison tant des limitations liées à son handicap que d'un éventuel plus grand besoin de pauses qu'un travailleur en bonne santé (cf. ATF 126 V 78 consid. 5). En définitive, le revenu d'invalide s'élève à 44'207 fr. 20 (49'119.10 – 10% de 49'119.10). En comparant ce montant avec le revenu sans invalidité (61'260), on obtient une perte de gain de 17'052 fr.80 (61'260 – 44'207.20) correspondant à un taux d'invalidité de 29% (17'502.80 : 61'260 x 100) qui est insuffisant pour donner droit à une rente d'invalidité. Reste la question d'éventuelles mesures d'ordre professionnel. Aux termes de l’art. 17 LAI, l’assuré a droit au reclassement dans une nouvelle profession, si son invalidité le rend nécessaire et si sa capacité de gain peut ainsi, selon toute vraisemblance, être sauvegardée ou améliorée de manière notable. Est considéré</w:t>
      </w:r>
    </w:p>
    <w:p>
      <w:r>
        <w:t>A/4169/2006 - 17/18 - comme invalide, au sens de cette disposition, celui qui subit, du fait de ses atteintes à la santé, une perte de gain d’environ 20% (ATF 124 V 108, 110). Pour déterminer si une mesure est de nature à rétablir, améliorer, sauvegarder ou à favoriser l'usage de la capacité de gain d'un assuré, il convient d'effectuer un pronostic sur les chances de succès des mesures demandées qui ne seront pas allouées si, selon toute vraisemblance, elles sont vouées à l'échec (cf. ATF 110 V 101 consid. 2). En effet, des mesures de réadaptation ne sont à la charge de l'assurance-invalidité que s'il existe une proportion raisonnable entre leur coût et leur utilité prévisible (ATFA du 21 janvier 2004, I 770/02, consid. 4.3). La recourante s'estime incapable d'exercer toute activité professionnelle, ce qui démontre que de telles mesures, pour autant qu'elles se justifient, seraient - en l'état - sans doute vouées à l'échec. En conséquence, le coût d'une mesure de reclassement professionnel serait disproportionné par rapport aux chances limitées de succès d'une telle mesure dans le cas d'espèce (cf. ATFA du 16 septembre 2003, I 657/02, consid. 6.2 et du 22 août 2002, I 440/01, consid. 3).</w:t>
      </w:r>
    </w:p>
    <w:p>
      <w:r>
        <w:rPr>
          <w:b/>
        </w:rPr>
        <w:t>E. 13</w:t>
      </w:r>
    </w:p>
    <w:p>
      <w:r>
        <w:t>Mal fondé, le recours est rejeté.</w:t>
      </w:r>
    </w:p>
    <w:p>
      <w:r>
        <w:rPr>
          <w:b/>
        </w:rPr>
        <w:t>E. 14</w:t>
      </w:r>
    </w:p>
    <w:p>
      <w:r>
        <w:t>En vertu de l'art. 69 al. 1 bis LAI, entré en vigueur le 1er juillet 2006, la procédure de recours en matière de contestations portant sur l'octroi ou le refus de prestations de l'AI devant le Tribunal de céans est soumis à des frais de justice, lesquels doivent se situer entre 200 fr. et 1'000 fr. La recourante étant déboutée, elle sera par conséquent condamnée au paiement d'un émolument de 200 fr.</w:t>
      </w:r>
    </w:p>
    <w:p>
      <w:r>
        <w:t>A/4169/2006 - 18/18 -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