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ATAS/318/2017 vom 19. April 2017</w:t>
      </w:r>
    </w:p>
    <w:p>
      <w:r>
        <w:t>GE Cour de justice, 2017-04-19, FR</w:t>
      </w:r>
    </w:p>
    <w:p>
      <w:r>
        <w:rPr>
          <w:b/>
        </w:rPr>
        <w:t xml:space="preserve">Quelle: </w:t>
      </w:r>
      <w:r>
        <w:t>https://mcp.opencaselaw.ch/entscheid/ge_gerichte_ATAS_318_2017</w:t>
      </w:r>
    </w:p>
    <w:p>
      <w:r>
        <w:t>FR: GE_GERICHTE ATAS/318/2017 du 19 avril 2017</w:t>
      </w:r>
    </w:p>
    <w:p>
      <w:r>
        <w:t>IT: GE_GERICHTE ATAS/318/2017 del 19 aprile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du recourant à une rente d’invalidité et, singulièrement, sur le caractère invalidant de son état psychique.</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w:t>
      </w:r>
    </w:p>
    <w:p>
      <w:r>
        <w:t>A/3386/2016 - 9/14 - entraîne une incapacité de travail ayant des effets sur la capacité de gain de l’assuré (arrêt du Tribunal fédéral des assurances I 654/00 du 9 avril 2001 consid. 1).</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A/3386/2016 - 10/14 -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A/3386/2016 - 11/14 -</w:t>
      </w:r>
    </w:p>
    <w:p>
      <w:r>
        <w:rPr>
          <w:b/>
        </w:rPr>
        <w:t>E. 9</w:t>
      </w:r>
    </w:p>
    <w:p>
      <w:r>
        <w:t>a. En l’espèce, l'intimé a nié le droit du recourant à une rente d'invalidité sur la base des conclusions du rapport du Dr F______ du 6 mai 2016. Il y a donc lieu d’examiner la valeur probante du rapport d’expertise précité. b. La chambre de céans constate que ce document, rendu en pleine connaissance du dossier, comporte des anamnèses familiale, professionnelle, psychosociale et psychiatrique détaillées. L’expert a précisément consigné les déclarations et plaintes du recourant, puis a relevé les nombreuses discordances et contradictions qui en résultaient. Il a conclu à une majoration importante des symptômes et estimé que les ressources du recourant, qualifié de démonstratif et théâtral, étaient en réalité supérieures à ce qu’il prétendait. Les propos de l’intéressé manquaient donc de crédibilité et devaient être reçus avec prudence. Après avoir présenté le status psychiatrique de l’assuré, le Dr F______ a discuté chacun des diagnostics retenus avant lui par le Dr C______ et considéré que seul celui de dysthymie pouvait être confirmé. Il a notamment exposé que l’humeur était modérément déprimée, avec un discours négatif et une diminution de l’élan vital. En revanche, le fonctionnement intellectuel était dans la norme, il n’y avait pas de labilité émotionnelle, de tristesse, d’abattement, de ralentissement idéomoteur, d’anxiété à l’entretien, de tension ou d’irritabilité. La vigilance, l’attention, la concentration et la mémoire étaient sans particularité. Le discours spontané, bien que pauvre, avait lieu normalement et était relativement structuré. La conscience était claire, sans aucun élément maniaque ou hypomaniaque. Le recourant consultait son psychiatre une seule fois par mois et n’avait jamais été hospitalisé en milieu psychiatrique, ce qui parlait en défaveur d’une affection grave. L’expert a ainsi clairement expliqué les raisons pour lesquelles il considérait que la dysthymie, présente depuis 2011, n’avait selon lui aucune répercussion sur la capacité de travail. Il a également motivé son appréciation et développé les éléments l’amenant à écarter les autres diagnostics retenus par le Dr C______. Partant, le rapport d’expertise du 6 mai 2016 répond aux réquisits jurisprudentiels permettant de lui reconnaître une pleine valeur probante. c. Pour sa part, le recourant conteste les conclusions du Dr F______ et se réfère à l’appréciation de son psychiatre traitant. La chambre de céans constate cependant que le rapport du Dr C______ du 4 juin 2014 ne fait état d'aucun élément objectivement vérifiable qui aurait été ignoré dans le cadre de l'expertise ni d'élément objectif précis qui justifierait, d'un point de vue médical, d'envisager la situation selon une perspective différente ou, à tout le moins, la mise en œuvre d'un complément d'instruction (cf. arrêt du Tribunal fédéral 9C_618/2014 du 9 janvier 2015 consid. 6.2.3). Quant au rapport du 4 août 2016, il ne contient pas la moindre opinion apte à mettre sérieusement en doute la pertinence des déductions de l'expert. Le Dr C______ s’est en effet limité à confirmer ses diagnostics et à considérer que l’unique évaluation contraire de l’expert était insuffisante pour contredire les conclusions</w:t>
      </w:r>
    </w:p>
    <w:p>
      <w:r>
        <w:t>A/3386/2016 - 12/14 - posées par des spécialistes qui suivent le recourant de longue date. C’est le lieu de rappeler que la durée de l'entretien entre l'expert et l'assuré n'est pas un critère reconnu par la jurisprudence pour avoir une influence déterminante sur la qualité et la valeur probante d'un rapport d'expertise (cf. arrêt du Tribunal fédéral des assurances I 719/06 du 4 juillet 2007 consid. 2.2), de sorte qu’il ne peut qu’en être de même du nombre d’entretien. Le psychiatre traitant a ensuite reproché au Dr F______ de ne pas s’être renseigné davantage auprès des thérapeutes et de ne pas avoir cherché à comprendre le fonctionnement psychologique, relevant un manque d’instruments d’évaluation standardisés. Or, c’est oublier qu’une évaluation psychiatrique comporte une importante marge d'appréciation pour l'exercice de laquelle les impressions directes que se fait l'expert de la personne soumise à l'examen psychiatrique sont essentielles (cf. arrêt du Tribunal fédéral 9C_203/2011 du 22 novembre 2011 consid. 4.3). De surcroît, le Dr F______ a pris contact avec le psychiatre traitant et a dûment motivé les diagnostics retenus ou écartés selon un système de classification reconnue. Enfin, la chambre de céans relèvera que l’appréciation du Dr C______ n’est nullement corroborée par le rapport du Dr D______ puisque ce dernier a estimé que l’incapacité de travail était temporaire et que le recourant pourrait à nouveau exercer sa profession (cf. rapport du 13 mai 2011). d. Le recourant fait grief à l’expert d’avoir retenu une capacité de travail entière dans l’activité habituelle de chauffeur professionnel, alors qu’il ne pourrait plus conduire en raison des nombreux médicaments qu’il prend, et d’avoir considéré que ses facultés cognitives réelles étaient supérieures à ce qui était affiché, sans rechercher la cause des oublis et approximations inexplicables. La chambre de céans rappellera que l’expert a dûment précisé les motifs qui l’ont conduit à douter des déclarations du recourant. Concernant l’aptitude à la conduite professionnelle, il est exact que le Dr F______ ne s’est pas prononcé sur les éventuels effets secondaires du traitement médicamenteux. Toutefois, un tel silence ne saurait être interprété comme un manquement, ce d’autant plus que l’expert a confirmé à réitérées reprises que le recourant ne présentait qu’une seule affection psychique qui n’engendrait aucune limitation fonctionnelle et a estimé que le traitement médicamenteux n’était pas adéquat au regard des pathologies retenues.</w:t>
      </w:r>
    </w:p>
    <w:p>
      <w:r>
        <w:rPr>
          <w:b/>
        </w:rPr>
        <w:t>E. 10</w:t>
      </w:r>
    </w:p>
    <w:p>
      <w:r>
        <w:t>Eu égard à tout ce qui précède, il y a lieu de reconnaître une pleine valeur probante à l’expertise du Dr F______, que les appréciations du Dr C______ ne sauraient remettre en question.</w:t>
      </w:r>
    </w:p>
    <w:p>
      <w:r>
        <w:rPr>
          <w:b/>
        </w:rPr>
        <w:t>E. 11</w:t>
      </w:r>
    </w:p>
    <w:p>
      <w:r>
        <w:t>Partant, c’est à juste titre que l’intimé a rejeté la demande de prestations du recourant.</w:t>
      </w:r>
    </w:p>
    <w:p>
      <w:r>
        <w:rPr>
          <w:b/>
        </w:rPr>
        <w:t>E. 12</w:t>
      </w:r>
    </w:p>
    <w:p>
      <w:r>
        <w:t>Par conséquent, le recours sera rejeté. Bien que la procédure ne soit pas gratuite en matière d'assurance-invalidité (art. 69 al. 1bis LAI), il convient de renoncer à la perception d'un émolument, le recourant étant au bénéfice de l'assistance juridique (art. 12 al. 1 du règlement sur</w:t>
      </w:r>
    </w:p>
    <w:p>
      <w:r>
        <w:t>A/3386/2016 - 13/14 - les frais, émoluments et indemnités en procédure administrative du 30 juillet 1986 [RFPA - E 5 10.03]).</w:t>
      </w:r>
    </w:p>
    <w:p>
      <w:r>
        <w:t>A/3386/2016 - 14/14 -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