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ATAS/317/2023 vom 8. Mai 2023</w:t>
      </w:r>
    </w:p>
    <w:p>
      <w:r>
        <w:t>GE Cour de justice, 2023-05-08, FR</w:t>
      </w:r>
    </w:p>
    <w:p>
      <w:r>
        <w:rPr>
          <w:b/>
        </w:rPr>
        <w:t xml:space="preserve">Quelle: </w:t>
      </w:r>
      <w:r>
        <w:t>https://mcp.opencaselaw.ch/entscheid/ge_gerichte_ATAS_317_2023</w:t>
      </w:r>
    </w:p>
    <w:p>
      <w:r>
        <w:t>FR: GE_GERICHTE ATAS/317/2023 du 8 mai 2023</w:t>
      </w:r>
    </w:p>
    <w:p>
      <w:r>
        <w:t>IT: GE_GERICHTE ATAS/317/2023 del 8 maggio 2023</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56 ss LPGA).</w:t>
      </w:r>
    </w:p>
    <w:p>
      <w:r>
        <w:rPr>
          <w:b/>
        </w:rPr>
        <w:t>E. 3</w:t>
      </w:r>
    </w:p>
    <w:p>
      <w:r>
        <w:t>Le litige porte sur le droit du recourant à des prestations de l’intimé au-delà du 20 janvier 2020, à la suite de son accident du 13 août 2019.</w:t>
      </w:r>
    </w:p>
    <w:p>
      <w:r>
        <w:rPr>
          <w:b/>
        </w:rPr>
        <w:t>E. 4.1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w:t>
      </w:r>
    </w:p>
    <w:p>
      <w:r>
        <w:t>A/205/2021 - 7/10 -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w:t>
      </w:r>
    </w:p>
    <w:p>
      <w:r>
        <w:rPr>
          <w:b/>
        </w:rPr>
        <w:t>E. 4.2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w:t>
      </w:r>
    </w:p>
    <w:p>
      <w:r>
        <w:t>A/205/2021 - 8/10 -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A/205/2021 - 9/10 - ATF 125 V 193 consid. 2 et les références). Aussi n’existe-t-il pas, en droit des assurances sociales, un principe selon lequel l’administration ou le juge devrait statuer, dans le doute, en faveur de l’assuré (ATF 126 V 319 consid. 5a).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7</w:t>
      </w:r>
    </w:p>
    <w:p>
      <w:r>
        <w:t>En l’occurrence, vu l’arrêt du Tribunal fédéral du 8 juin 2022, la chambre de céans a confié une expertise judiciaire au docteur H______, FMH chirurgie orthopédique et traumatologie. Le rapport d’expertise judiciaire de celui-ci, fondé sur toutes les pièces du dossier, comprenant une anamnèse, un examen clinique du recourant, des diagnostics clairs et une analyse convaincante, d’une part, du lien de causalité de ceux-ci avec l’accident ainsi que, d’autre part, du statu quo ante, répond aux réquisits jurisprudentiels précités pour qu’il lui soit reconnu une pleine valeur probante, ce qui n’est pas contesté par les parties. L’intimé a, en conséquence, suivi les conclusions de l’expert et confirmé son obligation de prise en charge des suites de l’accident au 20 janvier 2020 pour la lésion du LCM et admis la date du 4 novembre 2020 pour la lésion du cartilage. Le recourant ne s’est pas prononcé à la suite de l’expertise judiciaire. La conclusion de l’intimé, qui correspond à celle de l’expertise judiciaire, peut être suivie.</w:t>
      </w:r>
    </w:p>
    <w:p>
      <w:r>
        <w:rPr>
          <w:b/>
        </w:rPr>
        <w:t>E. 8</w:t>
      </w:r>
    </w:p>
    <w:p>
      <w:r>
        <w:t>En conséquence, le recours sera partiellement admis, la décision litigieuse réformée et il sera dit que l’intimée doit prendre en charge les suites de l’accident jusqu’au 4 novembre 2020 concernant la lésion du cartilage, dans le sens des considérants.</w:t>
      </w:r>
    </w:p>
    <w:p>
      <w:r>
        <w:rPr>
          <w:b/>
        </w:rPr>
        <w:t>E. 9</w:t>
      </w:r>
    </w:p>
    <w:p>
      <w:r>
        <w:t>Le recourant, qui n’est pas représenté, n’a pas droit à des dépens. Pour le surplus, la procédure est gratuite.</w:t>
      </w:r>
    </w:p>
    <w:p>
      <w:r>
        <w:t>A/205/2021 - 10/10 -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