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ATAS/317/2021 vom 8. April 2021</w:t>
      </w:r>
    </w:p>
    <w:p>
      <w:r>
        <w:t>GE Cour de justice, 2021-04-08, FR</w:t>
      </w:r>
    </w:p>
    <w:p>
      <w:r>
        <w:rPr>
          <w:b/>
        </w:rPr>
        <w:t xml:space="preserve">Quelle: </w:t>
      </w:r>
      <w:r>
        <w:t>https://mcp.opencaselaw.ch/entscheid/ge_gerichte_ATAS_317_2021</w:t>
      </w:r>
    </w:p>
    <w:p>
      <w:r>
        <w:t>FR: GE_GERICHTE ATAS/317/2021 du 8 avril 2021</w:t>
      </w:r>
    </w:p>
    <w:p>
      <w:r>
        <w:t>IT: GE_GERICHTE ATAS/317/2021 del 8 aprile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LPGA relatives à la LAA. Sa compétence pour juger du cas d’espèce est ainsi établie.</w:t>
      </w:r>
    </w:p>
    <w:p>
      <w:r>
        <w:rPr>
          <w:b/>
        </w:rPr>
        <w:t>E. 2</w:t>
      </w:r>
    </w:p>
    <w:p>
      <w:r>
        <w:t>À teneur de l'art. 1 al. 1 LAA, les dispositions de la LPGA s'appliquent à l'assurance-accidents, à moins que la loi n'y déroge expressément. Le 1er janvier 2017 est entrée en vigueur la modification du 25 septembre 2015 de la LAA.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des prestations de l’assurance-accidents en relation avec les lésions de son épaule gauche résultant de l’accident du 13 juillet 2018.</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 5. Causalité</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8C_235/2018 du 16 avril 2019 consid. 3.1).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(ATF 130 V 117).</w:t>
      </w:r>
    </w:p>
    <w:p>
      <w:r>
        <w:t>A/592/2020 - 16/30 -</w:t>
      </w:r>
    </w:p>
    <w:p>
      <w:r>
        <w:rPr>
          <w:b/>
        </w:rPr>
        <w:t>E. 5.1</w:t>
      </w:r>
    </w:p>
    <w:p>
      <w:r>
        <w:t>Les atteintes constatées au niveau de l’épaule gauche de l’expertisé sont-elles dans un rapport de causalité avec l’accident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t>A/592/2020 - 29/30 -</w:t>
      </w:r>
    </w:p>
    <w:p>
      <w:r>
        <w:rPr>
          <w:b/>
        </w:rPr>
        <w:t>E. 5.1.2</w:t>
      </w:r>
    </w:p>
    <w:p>
      <w:r>
        <w:t>La déchirure du tendon sous-scapulaire du recourant est-elle due, ou partiellement due, à un état antérieur ?</w:t>
      </w:r>
    </w:p>
    <w:p>
      <w:r>
        <w:rPr>
          <w:b/>
        </w:rPr>
        <w:t>E. 5.1.3</w:t>
      </w:r>
    </w:p>
    <w:p>
      <w:r>
        <w:t>À partir de quel moment le statu quo ante a-t-il été atteint (moment où l’état de santé de la personne expertisée est similaire à celui qui existait immédiatement avant l’accident) ?</w:t>
      </w:r>
    </w:p>
    <w:p>
      <w:r>
        <w:rPr>
          <w:b/>
        </w:rPr>
        <w:t>E. 5.1.4</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Capacité de travail</w:t>
      </w:r>
    </w:p>
    <w:p>
      <w:r>
        <w:rPr>
          <w:b/>
        </w:rPr>
        <w:t>E. 6</w:t>
      </w:r>
    </w:p>
    <w:p>
      <w:r>
        <w:t>a.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b.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déchirure de la coiffe des rotateurs était assimilée à une déchirure de tendons au sens de l'art. 9 al. 2 let. f aOLAA (ATF 123 V 43 consid. 2b). La liste des lésions corporelles figurant à l'art. 6 al. 2 LAA correspond à celle de l'art. 9 al. 2 aOLAA, si bien que la jurisprudence développée sous l'empire de l'ancien droit relative à la qualification d'une lésion comme étant analogue à celle causée par un accident demeure applicable (cf. Kaspar GEHRING, KVG/UVG Kommentar, Bundesgesetze über die Krankenversicherung, die Unfallversicherung und den Allgemeinen Teil des Sozialversicherungsrechts [ATSG] mit weiteren Erlassen, 2018, n. 13 ad Art. 6 UVG).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Dans un arrêt de principe du 24 septembre 2019 (ATF 146 V 51), le Tribunal fédéral a précisé que selon l’interprétation de l’art. 6 al. 2 LAA, l’application de cette disposition ne présuppose aucun facteur extérieur et donc aucun événement</w:t>
      </w:r>
    </w:p>
    <w:p>
      <w:r>
        <w:t>A/592/2020 - 17/30 -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de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6.1</w:t>
      </w:r>
    </w:p>
    <w:p>
      <w:r>
        <w:t>Pour autant que l'événement du 13 juillet 2018 ait joué un rôle, même partiel, dans la survenance des atteintes à l'épaule gauche de l'expertisé, celles-ci ont-elles entraîné une incapacité de travail ? Si oui, depuis quand et à quel taux ? Comment ce taux a-t-il évolué ?</w:t>
      </w:r>
    </w:p>
    <w:p>
      <w:r>
        <w:rPr>
          <w:b/>
        </w:rPr>
        <w:t>E. 6.2</w:t>
      </w:r>
    </w:p>
    <w:p>
      <w:r>
        <w:t>Quelle est la capacité de travail de la personne expertisée dans son activité habituelle, compte tenu des seules atteintes en rapport de causalité (au moins probable - probabilité de plus de 50 %) avec l’accident ?</w:t>
      </w:r>
    </w:p>
    <w:p>
      <w:r>
        <w:rPr>
          <w:b/>
        </w:rPr>
        <w:t>E. 6.3</w:t>
      </w:r>
    </w:p>
    <w:p>
      <w:r>
        <w:t>Quelle est la capacité de travail de la personne expertisée dans une activité adaptée, compte tenu des seules atteintes en rapport de causalité (au moins probable - probabilité de plus de 50 %) avec l’accident ? 7. Appréciation d'avis médicaux du dossier</w:t>
      </w:r>
    </w:p>
    <w:p>
      <w:r>
        <w:rPr>
          <w:b/>
        </w:rPr>
        <w:t>E. 7</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A/592/2020 - 18/30 -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que, 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7.1</w:t>
      </w:r>
    </w:p>
    <w:p>
      <w:r>
        <w:t>Commenter et discuter le rapport du Dr J______ du 11 juillet 2019.</w:t>
      </w:r>
    </w:p>
    <w:p>
      <w:r>
        <w:rPr>
          <w:b/>
        </w:rPr>
        <w:t>E. 7.2</w:t>
      </w:r>
    </w:p>
    <w:p>
      <w:r>
        <w:t>Commenter et discuter les rapports du Dr H______ du 4 mars 2019, 6 novembre 2019 et 3 mars 2020.</w:t>
      </w:r>
    </w:p>
    <w:p>
      <w:r>
        <w:rPr>
          <w:b/>
        </w:rPr>
        <w:t>E. 7.3</w:t>
      </w:r>
    </w:p>
    <w:p>
      <w:r>
        <w:t>Commenter et discuter l’IRM de l’épaule gauche du 27 mai 2016, et l’arthrographie-IRM de l’épaule gauche du 22 février 2019. 8. Quel est le pronostic ? 9. Faire toutes autres observations ou suggestions utiles. E. Invite l’expert à déposer son rapport en trois exemplaires dans les meilleurs délais auprès de la chambre de céans. F. Réserve le fond ainsi que le sort des frais jusqu’à droit jugé au fond.</w:t>
      </w:r>
    </w:p>
    <w:p>
      <w:r>
        <w:t>A/592/2020 - 30/30 -</w:t>
      </w:r>
    </w:p>
    <w:p>
      <w:r>
        <w:t>La greffière</w:t>
      </w:r>
    </w:p>
    <w:p>
      <w:r>
        <w:t>Isabelle CASTILLO</w:t>
      </w:r>
    </w:p>
    <w:p>
      <w:r>
        <w:t>La présidente</w:t>
      </w:r>
    </w:p>
    <w:p>
      <w:r>
        <w:t>Catherine TAPPONNIER</w:t>
      </w:r>
    </w:p>
    <w:p>
      <w:r>
        <w:t>Une copie conforme de la présente ordonnance est notifiée aux parties par le greffe le</w:t>
      </w:r>
    </w:p>
    <w:p>
      <w:r>
        <w:rPr>
          <w:b/>
        </w:rPr>
        <w:t>E. 8</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w:t>
      </w:r>
    </w:p>
    <w:p>
      <w:r>
        <w:t>A/592/2020 - 19/30 -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10</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A/592/2020 - 20/30 -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11</w:t>
      </w:r>
    </w:p>
    <w:p>
      <w:r>
        <w:t>Le juge des assurances sociales fonde sa décision, sauf dispositions contraires de la loi, sur les faits qui, faute d’être établis de manière irréfutable, apparaissent comme</w:t>
      </w:r>
    </w:p>
    <w:p>
      <w:r>
        <w:t>A/592/2020 - 21/30 -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13</w:t>
      </w:r>
    </w:p>
    <w:p>
      <w:r>
        <w:t>Le juge des assurances sociales doit procéder à des investigations supplémentaires ou en ordonner lorsqu'il y a suffisamment de raisons pour le faire, eu égard aux griefs invoqués par les parties ou aux indices résultant du dossier. Il ne peut ignorer</w:t>
      </w:r>
    </w:p>
    <w:p>
      <w:r>
        <w:t>A/592/2020 - 22/30 -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 arrêt du Tribunal fédéral 8C_760/2011 du 26 janvier 2012 consid. 3).</w:t>
      </w:r>
    </w:p>
    <w:p>
      <w:r>
        <w:rPr>
          <w:b/>
        </w:rPr>
        <w:t>E. 14</w:t>
      </w:r>
    </w:p>
    <w:p>
      <w:r>
        <w:t>En l’espèce, par décision du 15 août 2019, l’intimée, en se fondant sur le rapport du Dr J______, a mis un terme au versement de ses prestations concernant l’épaule gauche du recourant à compter du 12 octobre 2018 et concernant le genou gauche à compter du 18 mars 2019. Elle a ainsi refusé de prendre en charge l’intervention du 5 mars 2019 et de verser au recourant des indemnités journalières pour l’incapacité de travail qui a suivi. Il sied de relever que l’assurance ne conteste pas le qualificatif d’accident de l’événement du 13 juillet 2018, mais estime avoir été en mesure d’apporter la preuve libératoire lui incombant en vertu de l’art. 6 al. 2 LAA, à savoir que les lésions à l’épaule gauche du recourant seraient de manière prépondérante dues à l’usure ou à une maladie. L’intimée s’est fondée sur l’appréciation du Dr J______, selon lequel l’assuré présentait une tendinopathie dégénérative de la coiffe des rotateurs. Ce dernier a considéré que l’événement du 13 juillet 2018 n’était responsable que d’une contusion de l’épaule gauche, de relative faible envergure, qui avait permis de révéler des troubles structurels préexistants. Partant, la contusion de l’épaule gauche devait avoir cessé de déployer ses effets après un délai maximal de trois mois après l’accident ; passé ce délai, le cursus de l’épaule était régi par l’état pathologique préexistant. Il retenait donc que la relation de causalité naturelle entre ledit événement et les lésions de la coiffe des rotateurs était hautement, voire très hautement improbable.</w:t>
      </w:r>
    </w:p>
    <w:p>
      <w:r>
        <w:rPr>
          <w:b/>
        </w:rPr>
        <w:t>E. 15</w:t>
      </w:r>
    </w:p>
    <w:p>
      <w:r>
        <w:t>Il convient d’examiner en premier lieu la valeur probante de l’expertise du Dr J______. Il ressort du dossier que le Dr J______ ne disposait pas de l’intégralité du dossier lorsqu’il a examiné le recourant. Il a cependant demandé par la suite à l’intimée de lui fournir des pièces complémentaires. Le rapport a donc été établi par l’expert en</w:t>
      </w:r>
    </w:p>
    <w:p>
      <w:r>
        <w:t>A/592/2020 - 23/30 - pleine connaissance du dossier. L’expert a également procédé à un examen du recourant et a pris en considération les plaintes exprimées par ce dernier. Le Dr J______ fonde sa conclusion, selon laquelle l’accident du 13 juillet 2018 aurait révélé des lésions dégénératives anciennes, sur l’IRM effectuée en 2016, qui avait mis en évidence une dégénérescence du tendon sus-épineux, ainsi qu’un tendon sous-scapulaire « non sain ». Alors qu’il constate, sur l’IRM effectuée en février 2019, une lésion du sous-scapulaire, il retient, sans donner davantage d’explications, qu’il n’y aurait pas, dans le dossier, d’indices solides prouvant une décompensation significative de la coiffe des rotateurs de l’épaule gauche à la suite de l’événement du 13 juillet 2018. Il ne traite pas davantage de la problématique de la déchirure du tendon sous-scapulaire du recourant, se concentrant principalement sur la pathologie de son tendon sus-épineux. Le recourant oppose à cet avis celui du Dr H______, lequel a estimé qu’il existait chez l’assuré de clairs arguments concernant la coiffe des rotateurs antérieure, qui serait généralement l’apanage du traumatisme. Dans son rapport du 3 mars 2020, le Dr H______ a indiqué être d’accord avec l’expert sur le fait que les lésions du sus- épineux étaient déjà préexistantes et n’étaient pas en lien de causalité avec l’accident susmentionné. En revanche, il a constaté que la déchirure de la coiffe antérieure, sous-scapulaire, n’était pas préexistante. Le Dr H______ a précisé que la mention, dans une IRM de 2016, d’un tendon scapulaire « non sain » avec remodelage, perte de substance articulaire dans sa partie haute atteignant 50 % de son épaisseur distalement, mettait simplement en évidence un vieillissement normal du tendon. Cette trouvaille n’était pas anormale selon lui et le tendon était normal compte tenu de l’âge du recourant. Le Dr H______ a spécifié qu’en revanche, la déchirure de la partie haute sous- scapulaire mesurant 17 x 6 mm mentionnée dans le rapport d’IRM du 22 février 2019 n’était clairement pas une trouvaille normale étant donné l’âge du recourant. Il en a déduit qu’une déchirure nouvelle du sous-scapulaire était survenue entre 2016 et 2019. Selon quatre publications scientifiques qu’il a citées, une déchirure isolée de la coiffe des rotateurs antérieure serait l’apanage du traumatisme. Au vu de ce qui précède, il convient de retenir que le recourant a établi, par l’avis du Dr H______, des éléments objectivables suffisamment pertinents pour susciter des doutes quant à la valeur probante de l’expertise établie par le Dr J______. Compte tenu de ces éléments, la chambre de céans n’est pas en mesure de trancher le litige et de déterminer si, comme le soutient l’intimée, l’événement accidentel n’a fait qu’engendrer une aggravation d’un état dégénératif préexistant, ou si, comme l’affirme le recourant, l’accident assuré a causé les troubles constatés 22 février 2019, qui ont justifié l’intervention du 5 mars 2019, puis l’incapacité de travail.</w:t>
      </w:r>
    </w:p>
    <w:p>
      <w:r>
        <w:rPr>
          <w:b/>
        </w:rPr>
        <w:t>E. 16</w:t>
      </w:r>
    </w:p>
    <w:p>
      <w:r>
        <w:t>Dans ces conditions, il se justifie de mettre en œuvre une expertise judiciaire orthopédique, qui sera confiée au Dr K______ et qui aura notamment pour mission</w:t>
      </w:r>
    </w:p>
    <w:p>
      <w:r>
        <w:t>A/592/2020 - 24/30 - de se déterminer quant au lien de causalité entre l’événement du 13 juillet 2018 et les lésions de la coiffe des rotateurs constatées en février 2019.</w:t>
      </w:r>
    </w:p>
    <w:p>
      <w:r>
        <w:rPr>
          <w:b/>
        </w:rPr>
        <w:t>E. 17</w:t>
      </w:r>
    </w:p>
    <w:p>
      <w:r>
        <w:t>L’intimée a requis la récusation du Dr K______. a. Selon l’art. 38 al. 1 LPA, lorsqu’une expertise est ordonnée, l’autorité nomme un ou des experts. Un délai est imparti aux parties pour proposer, s’il y a lieu, la récusation des experts (art. 39 al. 1 LPA). En l’espèce, la demande de récusation a été déposée dans le délai imparti, de sorte qu’elle est recevable. b. Les personnes appelées à rendre ou à préparer des décisions sur des droits ou des obligations doivent se récuser si elles ont un intérêt personnel dans l’affaire, si elles représentent une partie ou ont agi dans la même affaire pour une partie, ou encore si, pour d’autres raisons, elles semblent prévenues (cf. art. 36 al. 1 LPGA, art. 10 al. 1 let. a, c et d PA). La récusation d'un expert judiciaire - qui ne fait pas partie du tribunal - s'examine au regard de l'art. 29 al. 1 de la Constitution fédérale de la Confédération suisse du</w:t>
      </w:r>
    </w:p>
    <w:p>
      <w:r>
        <w:rPr>
          <w:b/>
        </w:rPr>
        <w:t>E. 18</w:t>
      </w:r>
    </w:p>
    <w:p>
      <w:r>
        <w:t>L’intimée a encore demandé, s’agissant de la mission d’expertise, qu’il soit fait obligation à l’expert désigné de prendre langue avec l’expert J______ et pas seulement avec le Dr H______. Il sera relevé à cet égard que le projet de mission d’expertise ne fait pas obligation à l’expert de contacter le Dr H______, mais l’invite seulement à le faire, si nécessaire. Il n’y pas lieu d’être plus directif avec l’expert, auquel il appartient de décider quels renseignements sont utiles à sa mission. Cela étant, vu la demande de l’intimée, il sera ajouté à la mission d’expertise que l’expert est invité à prendre langue avec le Dr J______, s’il l’estime nécessaire.</w:t>
      </w:r>
    </w:p>
    <w:p>
      <w:r>
        <w:rPr>
          <w:b/>
        </w:rPr>
        <w:t>E. 19</w:t>
      </w:r>
    </w:p>
    <w:p>
      <w:r>
        <w:t>Les jugements cantonaux rendus sur recours contre les décisions incidentes de l’assureur social concernant la mise en œuvre d’expertises ne peuvent pas être déférés au Tribunal fédéral, à moins qu’il n’ait été statué sur des motifs formels de récusation (ATF 139 V 339 consid. 4 ; ATF 138 V 318 consid. 6.2 p. 323; arrêt du Tribunal fédéral 9C_810/2019 du 7 janvier 2020), ce qui n’est pas le cas en l’espèce.</w:t>
      </w:r>
    </w:p>
    <w:p>
      <w:r>
        <w:t>A/592/2020 - 28/30 -</w:t>
      </w:r>
    </w:p>
    <w:p>
      <w:r>
        <w:t>PAR CES MOTIFS, LA CHAMBRE DES ASSURANCES SOCIALES : Statuant préparatoirement I. Ordonne une expertise médicale orthopédique. La confie au docteur K______, spécialiste FMH en chirurgie orthopédique et traumatologie de l’appareil locomoteur.</w:t>
      </w:r>
    </w:p>
    <w:p>
      <w:r>
        <w:t>Dit que la mission d’expertise sera la suivante : A. Prendre connaissance de l’intégralité du dossier de la cause. B. Si nécessaire, prendre tous renseignements auprès des médecins ayant traité ou examiné la personne expertisée, notamment le Dr H______ et le Dr J______. C. Examiner la personne expertisée et, si nécessaire, ordonner d'autres examens. D. Établir un rapport comprenant les éléments et les réponses aux questions suivants : 1. Anamnèse détaillée 2. Plaintes de la personne expertisée et données subjectives de celle-ci 3. Status et constatations objectives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