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ATAS/316/2017 vom 19. April 2017</w:t>
      </w:r>
    </w:p>
    <w:p>
      <w:r>
        <w:t>GE Cour de justice, 2017-04-19, FR</w:t>
      </w:r>
    </w:p>
    <w:p>
      <w:r>
        <w:rPr>
          <w:b/>
        </w:rPr>
        <w:t xml:space="preserve">Quelle: </w:t>
      </w:r>
      <w:r>
        <w:t>https://mcp.opencaselaw.ch/entscheid/ge_gerichte_ATAS_316_2017</w:t>
      </w:r>
    </w:p>
    <w:p>
      <w:r>
        <w:t>FR: GE_GERICHTE ATAS/316/2017 du 19 avril 2017</w:t>
      </w:r>
    </w:p>
    <w:p>
      <w:r>
        <w:t>IT: GE_GERICHTE ATAS/316/2017 del 19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En cas de changement de règles de droit, et sauf réglementation transitoire contraire, la législation applicable est celle en vigueur lors de la réalisation de l'état de fait qui doit être apprécié juridiquement et qui a des conséquences juridiques (cf. ATF 136 V 24 consid. 4.2 p. 27), étant précisé que le juge n'a pas à prendre en considération les modifications du droit ou de l'état de fait postérieurs à la date déterminante de la décision litigieuse (ATF 136 V 24 consid. 4.3 p. 27, 130 V 445 consid. 1.2.1 p. 446; 129 V 1 consid. 1.2 p. 4 et les arrêts cités).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3</w:t>
      </w:r>
    </w:p>
    <w:p>
      <w:r>
        <w:t>Interjeté dans la forme et le délai prévus par la loi, le recours est recevable (art. 56 et 60 LPGA).</w:t>
      </w:r>
    </w:p>
    <w:p>
      <w:r>
        <w:rPr>
          <w:b/>
        </w:rPr>
        <w:t>E. 4</w:t>
      </w:r>
    </w:p>
    <w:p>
      <w:r>
        <w:t>Le litige porte sur le point de savoir si c’est à bon droit que l’intimé a, par voie de révision, réduit la rente d’invalidité du recourant à une demi-rente avec effet</w:t>
      </w:r>
    </w:p>
    <w:p>
      <w:r>
        <w:t>A/1558/2016 - 8/14 - rétroactif au 1er janvier 2010 et lui a réclamé la restitution d’un montant de CHF 48'377.- de prestations versées à tort du 1er mai 2011 au 30 septembre 2015. Plus particulièrement, le litige porte sur l'évaluation de l'invalidité du recourant ayant droit à une rente entière d’invalidité qui a repris une activité à temps partiel.</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 jurisprudence, 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6.1 p. 13 et les références citées). b) L'art. 31 LAI, dans sa teneur introduite au 1er janvier 2008, prévoyait que si 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L'alinéa 2 de cette disposition a été abrogé dans le contexte de la 6ème révision de l'AI au 31 décembre 2011 (RO 2011 5659). Il convient de rappeler que cet article a été introduit par la cinquième révision de la LAI qui visait à diminuer les dépenses notamment par l'élimination des incitations négatives à la réadaptation et par la réinsertion dans la vie professionnelle (Message concernant la modification de la loi fédérale sur l'assurance-invalidité [5e révision de l'AI] du 22 juin 2005, FF 2005 p. 4223 ch. 1.1.1.2, p. 4224 ch. 1.1.1.3 et p. 4258 ch. 1.2). Dans ce contexte, la disposition légale en question avait pour but spécifique de prévenir les pertes de revenu en cas d'augmentation de l'activité lucrative et cherchait à inciter les assurés à exploiter leur capacité de gain - en exerçant une activité lucrative ou en améliorant un revenu existant - sans que la réduction du revenu acquis sous forme de rente soit supérieure à l'augmentation du</w:t>
      </w:r>
    </w:p>
    <w:p>
      <w:r>
        <w:t>A/1558/2016 - 9/14 - revenu provenant de l'activité lucrative (FF 2005 p. 4294 ch. 1.6.2.2 et p. 4323 art. 31 [nouveau]). Selon les principes prévus à l'art. 31 al. 2 LAI et précisés par la jurisprudence, la lettre de cette norme met clairement sur le même pied la perception d'un nouveau revenu et l'augmentation d'un revenu existant, et le montant qu'il convient de prendre en compte à raison de deux tiers se réfère à l'amélioration du revenu qui dépasse le seuil de 1'500 fr et non pas à l'ensemble du revenu (ATF 137 V 369 consid. 4.4.3 p. 371 ss ; arrêt 9C_518/2011 du 18 janvier 2012, consid. 3.3).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Pour pouvoir calculer le degré d'invalidité, l'administration (ou le juge, s'il y a eu un recours) a besoin de documents que le médecin, éventuellement aussi d'autres</w:t>
      </w:r>
    </w:p>
    <w:p>
      <w:r>
        <w:t>A/1558/2016 - 10/14 -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OPGA; Ueli Kieser, ATSG-Kommentar, 2ème éd., 2009, ad art. 25 LPGA, n° 8 p. 354).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t>A/1558/2016 - 11/14 -</w:t>
      </w:r>
    </w:p>
    <w:p>
      <w:r>
        <w:rPr>
          <w:b/>
        </w:rPr>
        <w:t>E. 9</w:t>
      </w:r>
    </w:p>
    <w:p>
      <w:r>
        <w:t>En l'espèce, il n’est pas contesté que le recourant a débuté un nouvel emploi en mai 2008. Cette circonstance a justifié l’ouverture d’une procédure de révision en application de l’art. 17 LPGA et une nouvelle évaluation de l'invalidité par l’intimé. Après avoir questionné les médecins traitants et procédé à une comparaison des gains, l’intimé a retenu que le recourant présentait une capacité de travail de 50 % dans une activité adaptée. Se fondant sur les revenus ressortant des Tables ESS 2008, pour une activité à 50 % et compte tenu d’un abattement de 15 %, le degré d’invalidité était de 78 % permettant le maintien de la rente entière d’invalidité (communication du 14 mai 2009). En septembre 2015, lorsque le recourant a atteint l’âge AVS, l’intimé a appris par la caisse qu’il avait réalisé des gains provenant d’une activité lucrative depuis 2009. Cette modification de la capacité de gain fondait l’ouverture d’une nouvelle procédure de révision. Dans ce cadre, l’intimé a effectué une nouvelle comparaison entre les revenus réalisés par le recourant et le revenu sans invalidité. Le recourant conteste le calcul effectué par l’intimé, l’estimant surévalué. Il relève n’avoir jamais travaillé davantage que 50 %, comme il en avait le droit.</w:t>
      </w:r>
    </w:p>
    <w:p>
      <w:r>
        <w:rPr>
          <w:b/>
        </w:rPr>
        <w:t>E. 10</w:t>
      </w:r>
    </w:p>
    <w:p>
      <w:r>
        <w:t>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Les perspectives d'avancement d'ordre professionnel dont l'assuré se trouve privé à la suite d'une atteinte à la santé ne sont prises en compte pour fixer le revenu sans invalidité que si elles reposent non sur la seule intention de l'assuré, mais sur des éléments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U 340/04 du 9 mars 2005, in RAMA 2005 n° U 554 p. 318 consid. 2.2 ; arrêt B 80/01 du 17 octobre 2003 consid. 5.2.2 et les références, in REAS 2004 p. 239 ).</w:t>
      </w:r>
    </w:p>
    <w:p>
      <w:r>
        <w:t>A/1558/2016 - 12/14 -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(ATF 139 V 592 consid. 2.3 p. 593).</w:t>
      </w:r>
    </w:p>
    <w:p>
      <w:r>
        <w:rPr>
          <w:b/>
        </w:rPr>
        <w:t>E. 11</w:t>
      </w:r>
    </w:p>
    <w:p>
      <w:r>
        <w:t>a) En l’espèce, pour le salaire sans invalidité, l’intimé a retenu le dernier salaire obtenu par le recourant en qualité de gendarme, en 1999, et l’a réactualisé à l’année 2009. Ce calcul ne tient toutefois pas compte de l’évolution salariale, ni du plan de carrière sur lesquels le recourant aurait pu escompter s’il n’était pas devenu invalide. En effet, il ressort des comptes individuels du recourant que ses gains ont régulièrement progressé depuis son entrée dans la police le 1er février 1978. On ignore toutefois quelle était sa situation sur le plan salarial, en particulier quelle était sa classe de fonction au regard de l’échelle des traitements alors en vigueur pour la gendarmerie (classe de traitement, annuités, etc.). En outre, lorsque le recourant est tombé malade en 1998, il exerçait la fonction de sous-brigadier de gendarmerie. Or, il apparait qu’il aurait pu grader dans des fonctions supérieures, promotions qui, selon ses déclarations, se faisaient alors selon le système de « roll matricule », et aurait pu devenir brigadier, puis maréchal chef de poste. Eu égard à ce qui précède, force est de constater que la détermination du revenu sans invalidité à laquelle l’intimé a procédé n’est pas correcte et nécessite des investigations complémentaires auprès de l’ancien employeur du recourant. b) Quant au revenu d’invalide, la chambre de céans constate que le recourant a été mis au bénéfice d’un contrat à durée indéterminé depuis le 1er janvier 2009. Le taux d’occupation n’est pas précisé : selon le recourant, il n’a jamais dépassé 50 % (activité entre 30 et 50 % selon le psychiatre traitant). Le salaire s’élevait à CHF 31.- brut de l’heure, seules les heures travaillées étant rémunérées. Selon les certificats de salaire annuels et l’extrait des comptes individuels, le recourant a réalisé un revenu de CHF 51'578.- brut en 2009, de CHF 58'238.- en 2010, de CHF 62'790.- en 2011, de CHF 51'703.- en 2012 et de CHF 49'571.- en 2013. L’intimé a pris en compte la moyenne des revenus réalisés de 2009 à 2013, soit CHF 54'776.-. Cette méthode est discutable. En effet, les revenus étaient variables, seules les heures de présence étaient payées et le recourant avait la possibilité de refuser les missions les jours où il ne se sentait pas bien (cf. rapport de la Dresse F______ du 10 mars 2009, chiffre 4). En outre, on constate que depuis 2012, les</w:t>
      </w:r>
    </w:p>
    <w:p>
      <w:r>
        <w:t>A/1558/2016 - 13/14 - revenus ont baissé. Enfin, sur le plan médical, la Dresse F______ a indiqué dans son rapport du 10 mars 2009 que le recourant restait encore bien fragile et qu’il avait fait une rechute en novembre 2008. Eu égard à ce qui précède, la chambre de céans est d’avis qu’un calcul fondé sur les revenus effectivement réalisés chaque année est plus judicieux. c) Pour le surplus, la chambre de céans constate que l’intimé n’a pas appliqué l’article 31 al. 2 LAI, en vigueur jusqu’au 31 décembre 2011, lors du calcul de la comparaison des gains. Il s’ensuit que l’intimé devra reprendre l’instruction du cas et procéder à un nouveau calcul du degré d’invalidité du recourant.</w:t>
      </w:r>
    </w:p>
    <w:p>
      <w:r>
        <w:rPr>
          <w:b/>
        </w:rPr>
        <w:t>E. 12</w:t>
      </w:r>
    </w:p>
    <w:p>
      <w:r>
        <w:t>Dans un autre argument, le recourant reproche à l’intimé de n’avoir pas pris en compte le fait que depuis janvier 2014, il n’a plus eu d’activité lucrative. L’extrait des comptes individuels du recourant du 1er septembre 2015 démontre en effet que pour l’année 2014, seul un revenu de CHF 3'784.- y est inscrit pour le mois de janvier et que depuis lors, plus aucun revenu n’a été réalisé. Lors de son audition, le recourant a précisé qu’il a dû cesser toute activité, en raison d’une rechute. Ce point n’a pas fait l’objet non plus d’investigations de la part de l’intimé. Il lui incombera d’interroger le médecin du recourant à cet égard.</w:t>
      </w:r>
    </w:p>
    <w:p>
      <w:r>
        <w:rPr>
          <w:b/>
        </w:rPr>
        <w:t>E. 13</w:t>
      </w:r>
    </w:p>
    <w:p>
      <w:r>
        <w:t>Au vu de ce qui précède, la chambre de céans n’est pas en mesure de statuer sur le degré d’invalidité du recourant durant la période litigieuse, ni, par conséquent, sur la restitution et son étendue.</w:t>
      </w:r>
    </w:p>
    <w:p>
      <w:r>
        <w:rPr>
          <w:b/>
        </w:rPr>
        <w:t>E. 14</w:t>
      </w:r>
    </w:p>
    <w:p>
      <w:r>
        <w:t>Par conséquent, le recours sera partiellement admis et la cause renvoyée à l’intimé pour instruction complémentaire et nouvelle décision.</w:t>
      </w:r>
    </w:p>
    <w:p>
      <w:r>
        <w:rPr>
          <w:b/>
        </w:rPr>
        <w:t>E. 15</w:t>
      </w:r>
    </w:p>
    <w:p>
      <w:r>
        <w:t>L’intimé, qui succombe, sera condamné au paiement d’un émolument de CHF 500.- (art. 69al. 1bis LAI).</w:t>
      </w:r>
    </w:p>
    <w:p>
      <w:r>
        <w:rPr>
          <w:b/>
        </w:rPr>
        <w:t>E. 16</w:t>
      </w:r>
    </w:p>
    <w:p>
      <w:r>
        <w:t>La procédure est gratuite.</w:t>
      </w:r>
    </w:p>
    <w:p>
      <w:r>
        <w:t>A/1558/2016 - 14/14 -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