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ATAS/316/2008 vom 11. März 2008</w:t>
      </w:r>
    </w:p>
    <w:p>
      <w:r>
        <w:t>GE Cour de justice, 2008-03-11, FR</w:t>
      </w:r>
    </w:p>
    <w:p>
      <w:r>
        <w:rPr>
          <w:b/>
        </w:rPr>
        <w:t xml:space="preserve">Quelle: </w:t>
      </w:r>
      <w:r>
        <w:t>https://mcp.opencaselaw.ch/entscheid/ge_gerichte_ATAS_316_2008</w:t>
      </w:r>
    </w:p>
    <w:p>
      <w:r>
        <w:t>FR: GE_GERICHTE ATAS/316/2008 du 11 mars 2008</w:t>
      </w:r>
    </w:p>
    <w:p>
      <w:r>
        <w:t>IT: GE_GERICHTE ATAS/316/2008 del 11 marzo 2008</w:t>
      </w:r>
    </w:p>
    <w:p>
      <w:pPr>
        <w:pStyle w:val="Heading2"/>
      </w:pPr>
      <w:r>
        <w:t>Erwägungen</w:t>
      </w:r>
    </w:p>
    <w:p>
      <w:r>
        <w:rPr>
          <w:b/>
        </w:rPr>
        <w:t>E. 18</w:t>
      </w:r>
    </w:p>
    <w:p>
      <w:r>
        <w:t>Dans sa réponse du 27 août 2007, l'OCAI a proposé au Tribunal de céans de refuser le rétablissement de l'effet suspensif et a réservé sa détermination sur le fond.</w:t>
      </w:r>
    </w:p>
    <w:p>
      <w:r>
        <w:rPr>
          <w:b/>
        </w:rPr>
        <w:t>E. 19</w:t>
      </w:r>
    </w:p>
    <w:p>
      <w:r>
        <w:t>Par arrêt incident du 31 août 2007, le Tribunal de céans a rejeté la demande de l'assurée quant à l'effet suspensif.</w:t>
      </w:r>
    </w:p>
    <w:p>
      <w:r>
        <w:rPr>
          <w:b/>
        </w:rPr>
        <w:t>E. 20</w:t>
      </w:r>
    </w:p>
    <w:p>
      <w:r>
        <w:t>Par courrier du 6 novembre 2007, l'OCAI se référant au rapport d'expertise rédigé par le Prof. C__________, a conclu au rejet du recours et à la confirmation de la suppression de la rente.</w:t>
      </w:r>
    </w:p>
    <w:p>
      <w:r>
        <w:rPr>
          <w:b/>
        </w:rPr>
        <w:t>E. 21</w:t>
      </w:r>
    </w:p>
    <w:p>
      <w:r>
        <w:t>Ce courrier a été transmis à l'assurée et la cause gardée à juger.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9 mai 2007 et statuant sur un état de fait juridiquement déterminant remontant pour l'essentiel jusqu'à l'année 2001, le présent litige sera examiné à la lumière des dispositions de la LPGA. Il convient quoi qu'il en soit de relever que ces dispositions n'ont pas modifié la notion d'invalidité selon l'ancienne LAI et la jurisprudence du TFA y relative est toujours d'actualité. 3.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t>A/2285/2007 - 6/13 - 4. L'objet du litige porte sur le droit de l'OCAI de supprimer la demi-rente accordée à l'assurée le 3 novembre 1999 et confirmée dans le cadre d'une première révision le 4 octobre 2001. 5.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6.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w:t>
      </w:r>
    </w:p>
    <w:p>
      <w:r>
        <w:t>A/2285/2007 - 7/13 -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7.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w:t>
      </w:r>
    </w:p>
    <w:p>
      <w:r>
        <w:t>A/2285/2007 - 8/13 - marché du travail équilibré qui entre en considération, si cette diminution résulte d'une atteinte à la santé physique ou mentale et qu'elle persiste après les traitements et les mesures de réadaptation exigibles (art. 7 LPGA).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Sans remettre en cause le principe de la libre appréciation des preuves, le Tribunal fédéral des assurances a posé des lignes directrices en ce qui concerne la manière</w:t>
      </w:r>
    </w:p>
    <w:p>
      <w:r>
        <w:t>A/2285/2007 - 9/13 -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10.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11.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12. Pour trancher le présent litige, il convient de comparer la situation de l'assurée telle qu'elle se présentait le 4 octobre 2001, date à laquelle la décision d'octroi de la demi-rente a été confirmée, et celle qui était la sienne au moment de la décision de suppression de la rente, le 9 mai 2007. 13. Lors de l'octroi initial de la demi-rente, l'assurée présentait des lombosciatalgies chroniques et cervicobrachialgies droites chroniques, ainsi qu'un état dépressif en amélioration. La première révision du dossier en septembre 2001 a révélé une aggravation de l'état de santé avec érythromélalgie, PSH droite et syndrome fémoro-patellaire bilatéral. La demi-rente a ainsi été maintenue. Dans le cadre de la deuxième révision qui fait l'objet du présent litige, le Prof. C__________ a été mandaté pour expertise. Il ressort de son rapport que l'assurée pourrait exercer son travail de traiteur chez X__________ exercé en dernier lieu ou une autre profession adaptée, celle de caissière par exemple, à 80%.</w:t>
      </w:r>
    </w:p>
    <w:p>
      <w:r>
        <w:t>A/2285/2007 - 10/13 - 14. L'assurée conteste les conclusions du Prof. C__________ et relève plus particulièrement une incohérence importante figurant dans le rapport. L'expert en effet considère qu'elle peut travailler comme traiteur chez X__________, alors même qu'il admet que les mouvements d'inclinaison du tronc, pourtant fort courants dans cette activité, sont douloureux. Il y a toutefois lieu de rappeler que l'expert faisant allusion à une activité légère a également mentionné le travail de caissière, travail que l'assurée a par ailleurs déjà exercé. 15. Il sied ainsi de considérer qu'a priori cette expertise remplit tous les critères pour que lui soit reconnue une pleine valeur probante, En effet les points litigieux ont fait l'objet d'une étude circonstanciée, le rapport se fonde sur des examens complets, il prend également en considération les plaintes de l'assurée, et a été établi en pleine connaissance de l'anamnèse, la description du contexte médical et l'appréciation de la situation médicale sont claires et enfin les conclusions de l'expert sont dûment motivées. 16. Reste à déterminer si les conclusions du médecin traitant doivent ou non conduire le Tribunal de céans à s'écarter de celles de l'expert. Il y a lieu de constater que tant le Dr A__________ que le Prof. C__________ retiennent les mêmes diagnostics. Ils diffèrent en revanche sur l'évaluation de l'effet de ces diagnostics sur la capacité de travail de l'assurée. Le Dr A__________ a, depuis son premier rapport établi le 3 août 1998, maintenu l'évaluation de l'incapacité de travail de sa patiente à 100%. Dans le cadre de la révision initiée par l'OCAI en 2001, il a indiqué que l'état de santé s'était aggravé. Il l'a confirmé en 2004, ajoutant les diagnostics avec répercussion sur la capacité de travail de dorsalgies droites chroniques survenues dès 2002 et d'épicondylite chronique depuis 2003. Il a toutefois précisé que l'assurée ne présentait pas de limitations s'agissant de l'épaule droite et des genoux, mais qu'elle souffrait de douleurs à l'abduction et la rotation interne contrariée, et lorsqu'elle montait ou descendait des escaliers. Le Tribunal de céans relève ainsi que selon les déclarations mêmes du médecin traitant, lesquelles rejoignent les constatations de l'expert, les limitations fonctionnelles de l'épaule droite et des genoux sont moins importantes qu'en 2001, de sorte qu'on ne voit pas ce qui empêcherait l'assurée d'exercer à 80% une activité légère adaptée à ses handicaps. Celle de caissière par exemple paraît correspondre parfaitement à la capacité de travail de l'assurée, compte tenu de ses limitations. Force dès lors est de constater que les conditions de la révision sont réalisées. L'assurée a sollicité une comparution personnelle des parties. Il y a à cet égard lieu de rappeler que si l'administration ou le juge, se fondant sur une appréciation</w:t>
      </w:r>
    </w:p>
    <w:p>
      <w:r>
        <w:t>A/2285/2007 - 11/13 -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17.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Lorsque les revenus avec et sans invalidité déterminants sont ainsi calculés sur la même base, il est superflu de les chiffrer avec exactitude. En pareil cas, le degré d'invalidité se confond avec celui de l'incapacité de travail (ATFA du 30 juin 2006, I 43/05). Compte tenu de l'incapacité de travail précitée le degré d'invalidité est de 20%, soit un taux insuffisant pour justifier l'octroi d'une rente AI. 18. Aussi le recours, mal fondé, doit-il être rejeté. 19. Il y a enfin lieu de rappeler que l'art. 18 al. 1 LAI a été modifié lors de la 4ème révision de la LAI. Aux termes de l'art. 18 al. 1 première phrase LAI (dans sa nouvelle teneur en vigueur depuis le 1er janvier 2004), les assurés invalides qui</w:t>
      </w:r>
    </w:p>
    <w:p>
      <w:r>
        <w:t>A/2285/2007 - 12/13 - sont susceptibles d'être réadaptés ont droit à un soutien actif dans la recherche d'un emploi approprié, et, s'ils en ont déjà un, à un conseil suivi afin de le conserver.</w:t>
      </w:r>
    </w:p>
    <w:p>
      <w:r>
        <w:t>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w:t>
      </w:r>
    </w:p>
    <w:p>
      <w:r>
        <w:t>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 partiellement, d'être réadaptée (MEYER-BLASER, op. cit. p. 85; VSI 2002 consid. 2 p. 112 [I 370/98]).</w:t>
      </w:r>
    </w:p>
    <w:p>
      <w:r>
        <w:t>Il appartiendra à l'assurée de solliciter, le cas échéant, une telle mesure.</w:t>
      </w:r>
    </w:p>
    <w:p>
      <w:r>
        <w:t>A/2285/2007 - 13/13 -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