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ATAS/315/2019 vom 16. April 2019</w:t>
      </w:r>
    </w:p>
    <w:p>
      <w:r>
        <w:t>GE Cour de justice, 2019-04-16, FR</w:t>
      </w:r>
    </w:p>
    <w:p>
      <w:r>
        <w:rPr>
          <w:b/>
        </w:rPr>
        <w:t xml:space="preserve">Quelle: </w:t>
      </w:r>
      <w:r>
        <w:t>https://mcp.opencaselaw.ch/entscheid/ge_gerichte_ATAS_315_2019</w:t>
      </w:r>
    </w:p>
    <w:p>
      <w:r>
        <w:t>FR: GE_GERICHTE ATAS/315/2019 du 16 avril 2019</w:t>
      </w:r>
    </w:p>
    <w:p>
      <w:r>
        <w:t>IT: GE_GERICHTE ATAS/315/2019 del 16 aprile 2019</w:t>
      </w:r>
    </w:p>
    <w:p>
      <w:pPr>
        <w:pStyle w:val="Heading2"/>
      </w:pPr>
      <w:r>
        <w:t>Erwägungen</w:t>
      </w:r>
    </w:p>
    <w:p>
      <w:r>
        <w:rPr>
          <w:b/>
        </w:rPr>
        <w:t>E. 1</w:t>
      </w:r>
    </w:p>
    <w:p>
      <w:r>
        <w:t>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Sa compétence pour juger du cas d’espèce est ainsi établie. b.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w:t>
      </w:r>
    </w:p>
    <w:p>
      <w:r>
        <w:t>A/1636/2018 - 4/9 - Versicherungsgericht und von Bundesgericht zum BVG, 2000-2004, in RSAS 49/2005, p. 258 ss). Par ailleurs, le for de l’action est au siège ou domicile suisse du défendeur ou au lieu de l’exploitation dans laquelle l’assuré a été engagé (art. 73 al. 3 LPP). En l’espèce, la contestation porte sur une question relevant spécifiquement de la prévoyance professionnelle, soit le montant de la rente complémentaire pour enfant versée au demandeur pour son fils. Par ailleurs, le siège de la caisse de pension défenderesse se trouve dans le canton de Genève. Partant, la chambre de céans est compétente à raison du lieu et de la matière pour juger du cas d’espèce. c. La procédure prévue par l’art. 73 LPP n'est pas déclenchée par une décision sujette à recours, mais par une simple prise de position de l'institution de prévoyance, qui ne peut s'imposer qu'en vertu de la décision d'un tribunal saisi par la voie de l'action (ATF 115 V 239 consid. 2). C'est dire que les institutions de prévoyance (y compris celles de droit public) n'ont pas le pouvoir de rendre des décisions proprement dites (ATF 115 V 224 consid. 2). En l’occurrence, l’institution de prévoyance défenderesse a informé le demandeur, par pli du 13 avril 2018, que la rente mensuelle d'enfant de retraité s'élevait à CHF 51.-. Ce courrier ne constitue pas une décision au sens juridique du terme, mais une simple prise de position (ATF 115 V 239 consid. 2). Il convient par conséquent de traiter le « recours » par lequel le demandeur a saisi la juridiction cantonale comme une demande au sens de la loi sur la procédure administrative du 12 septembre 1985 (LPA - E 5 10), un tel procédé étant admissible au regard de la jurisprudence (arrêt du Tribunal fédéral des assurances B 58/02 du 25 octobre 2002 consid. 2 et les références citées). d. Pour le surplus, déposée dans les formes prescrites par l’art. 89B LPA, la demande est recevable.</w:t>
      </w:r>
    </w:p>
    <w:p>
      <w:r>
        <w:rPr>
          <w:b/>
        </w:rPr>
        <w:t>E. 2</w:t>
      </w:r>
    </w:p>
    <w:p>
      <w:r>
        <w:t>a. Selon l'art. 13 al. 1 let.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est adapté en conséquence (art. 13 al. 2 LPP). D'après l’art. 17 al. 1 LPP, les bénéficiaires d'une rente de vieillesse ont droit à une rente complémentaire pour chaque enfant qui, à leur décès, aurait droit à une rente d'orphelin ; le montant de la rente pour enfant équivaut à celui de la rente d'orphelin. Lors du décès d'une personne qui a bénéficié d'une rente de vieillesse ou d'invalidité, la rente de veuf ou de veuve s'élève à 60 % et la rente d'orphelin à 20 % de la dernière rente de vieillesse ou d'invalidité allouée (art. 21 al. 2 LPP). b. Tant le financement que la mise en œuvre de la prévoyance professionnelle doivent être fixés à l'avance dans les statuts et les règlements (art. 50 LPP) selon</w:t>
      </w:r>
    </w:p>
    <w:p>
      <w:r>
        <w:t>A/1636/2018 - 5/9 -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n° 65 ss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(ATF 136 V 65 consid. 3.7 et les références et 114 V 239 consid. 6a). c. Lorsqu'une institution de prévoyance professionnelle (de droit privé) décide d'étendre la prévoyance au-delà des exigences minimales fixées par la loi, les</w:t>
      </w:r>
    </w:p>
    <w:p>
      <w:r>
        <w:t>A/1636/2018 - 6/9 -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 ATF 140 V 145 consid. 3.3).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(ATF 134 V 15 consid. 2.3.3).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 (ATF 136 V 313 consid. 5.3.4 ; arrêt du Tribunal fédéral 9C_793/2018 du 14 mars 2019 consid. 3 ; cf. aussi ATF 142 V 226 consid. 6).</w:t>
      </w:r>
    </w:p>
    <w:p>
      <w:r>
        <w:t>A/1636/2018 - 7/9 -</w:t>
      </w:r>
    </w:p>
    <w:p>
      <w:r>
        <w:rPr>
          <w:b/>
        </w:rPr>
        <w:t>E. 3</w:t>
      </w:r>
    </w:p>
    <w:p>
      <w:r>
        <w:t>En l'espèce, la défenderesse est une fondation privée enregistrée au registre de la prévoyance professionnelle auprès de l’autorité de surveillance, au sens de l’art. 48 LPP. Elle pratique la prévoyance obligatoire et plus étendue (institution dite « enveloppante »), certaines prestations réglementaires allant au-delà des prestations minimales selon la LPP. D'après l'art. 36 al. 5 de son règlement de prévoyance, en vigueur depuis le 1er janvier 2017, le bénéficiaire d'une rente de vieillesse a droit à une rente complémentaire (rente d'enfant de retraité), égale à 20 % de la rente de vieillesse LPP, pour chaque enfant qui, à son décès, aurait droit à une rente d'orphelin. Se fondant sur cette disposition, la défenderesse a calculé la rente complémentaire pour l'enfant du demandeur sur la base de la rente de vieillesse LPP de l'intéressé de CHF 3'027.55. Elle a ainsi accordé à ce dernier une rente annuelle pour enfant de CHF 612.- (20 % de CHF 3'027.55), soit CHF 51.- par mois. Le demandeur conteste ce raisonnement. Il fait valoir que, selon le texte clair de l'art. 17 al. 1 LPP, le montant de la rente pour enfant doit être égal à celui de la rente d'orphelin. Or, d'après le règlement de fondation, la rente annuelle d'orphelin serait de CHF 1'524.- par an, de sorte que la défenderesse a violé le droit en lui accordant une rente annuelle pour enfant de CHF 612.-. Cette argumentation ne résiste pas à l'examen. Contrairement à ce que soutient l'intéressé, l'art. 17 al. 1 LPP, en liaison avec l'art. 21 al. 2 LPP, n'oblige pas les caisses de pension à prévoir une rente complémentaire pour enfant équivalente à la rente d'orphelin. Ces dispositions prévoient uniquement que, dans le cadre du régime obligatoire de la prévoyance professionnelle, le montant de la rente pour enfant s'élève, à l'instar de la rente d'orphelin, à 20 % de la « dernière rente de vieillesse allouée », ce par quoi il faut comprendre la rente de vieillesse obligatoire selon la LPP (cf. ATF 121 V 140 consid. 5b ; Gustavo SCARTAZZINI, in SCHNEIDER/GEISER/GÄCHTER (éd), Commentaire LPP et LFLP, 2010, n. 3 ad art. 21 LPP). Il s'agit de prestations minimales et les institutions de prévoyance ne peuvent aller en deçà de ces exigences. Elles sont toutefois libres d'accorder des prestations supérieures aux minimaux légaux. C'est précisément le cas ici, puisque la défenderesse verse au demandeur une rente annuelle de CHF 8'196.- (CHF 7'584.- de rente de vieillesse et CHF 612.- de rente pour enfant) alors que le régime obligatoire de la prévoyance professionnelle garantit au demandeur le droit à une rente annuelle de CHF 3'639.55 (CHF 3'027.55 de rente de vieillesse et CHF 612.- de rente pour enfant). Les exigences minimales de la LPP sont ainsi respectées. Dans ces conditions, la défenderesse était fondée à calculer la rente complémentaire pour enfant sur la base de l'art. 36 al. 5 de son règlement de prévoyance, lequel s'aligne, sur ce point, sur les prestations minimales prévues par la LPP (cf. art. 21 al. 2 LPP). La rente de vieillesse obligatoire selon la LPP du demandeur étant de CHF 3'027.55, c'est à juste titre que la défenderesse a accordé au demandeur une rente complémentaire pour enfant de CHF 612.- par an (20 % de CHF 3'027.55).</w:t>
      </w:r>
    </w:p>
    <w:p>
      <w:r>
        <w:t>A/1636/2018 - 8/9 -</w:t>
      </w:r>
    </w:p>
    <w:p>
      <w:r>
        <w:rPr>
          <w:b/>
        </w:rPr>
        <w:t>E. 4</w:t>
      </w:r>
    </w:p>
    <w:p>
      <w:r>
        <w:t>Les considérants qui précèdent conduisent au rejet de la demande.</w:t>
      </w:r>
    </w:p>
    <w:p>
      <w:r>
        <w:rPr>
          <w:b/>
        </w:rPr>
        <w:t>E. 5</w:t>
      </w:r>
    </w:p>
    <w:p>
      <w:r>
        <w:t>La procédure est gratuite (art. 89H al. 1 LPA). ******</w:t>
      </w:r>
    </w:p>
    <w:p>
      <w:r>
        <w:t>A/1636/2018 - 9/9 -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