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ATAS/315/2017 vom 19. April 2017</w:t>
      </w:r>
    </w:p>
    <w:p>
      <w:r>
        <w:t>GE Cour de justice, 2017-04-19, FR</w:t>
      </w:r>
    </w:p>
    <w:p>
      <w:r>
        <w:rPr>
          <w:b/>
        </w:rPr>
        <w:t xml:space="preserve">Quelle: </w:t>
      </w:r>
      <w:r>
        <w:t>https://mcp.opencaselaw.ch/entscheid/ge_gerichte_ATAS_315_2017</w:t>
      </w:r>
    </w:p>
    <w:p>
      <w:r>
        <w:t>FR: GE_GERICHTE ATAS/315/2017 du 19 avril 2017</w:t>
      </w:r>
    </w:p>
    <w:p>
      <w:r>
        <w:t>IT: GE_GERICHTE ATAS/315/2017 del 19 aprile 2017</w:t>
      </w:r>
    </w:p>
    <w:p>
      <w:pPr>
        <w:pStyle w:val="Heading2"/>
      </w:pPr>
      <w:r>
        <w:t>Erwägungen</w:t>
      </w:r>
    </w:p>
    <w:p>
      <w:r>
        <w:rPr>
          <w:b/>
        </w:rPr>
        <w:t>E. 11</w:t>
      </w:r>
    </w:p>
    <w:p>
      <w:r>
        <w:t>Par réplique du 10 janvier 2014, la recourante a relevé que compte tenu justement des avis et diagnostics divergents, une expertise judiciaire se justifiait.</w:t>
      </w:r>
    </w:p>
    <w:p>
      <w:r>
        <w:t>A/3505/2013 - 4/9 -</w:t>
      </w:r>
    </w:p>
    <w:p>
      <w:r>
        <w:rPr>
          <w:b/>
        </w:rPr>
        <w:t>E. 12</w:t>
      </w:r>
    </w:p>
    <w:p>
      <w:r>
        <w:t>Lors de l’audience de comparution personnelle du 5 février 2014, les parties ont persisté dans leurs conclusions.</w:t>
      </w:r>
    </w:p>
    <w:p>
      <w:r>
        <w:rPr>
          <w:b/>
        </w:rPr>
        <w:t>E. 13</w:t>
      </w:r>
    </w:p>
    <w:p>
      <w:r>
        <w:t>Le 26 février 2014, la chambre de céans a informé les parties qu’elle entendait mettre en œuvre une expertise judiciaire et leur a communiqué le nom et les questions qu’elle avait l’intention de poser à l’expert, tout en leur impartissant un délai pour compléter celles-ci et faire valoir une éventuelle cause de récusation.</w:t>
      </w:r>
    </w:p>
    <w:p>
      <w:r>
        <w:rPr>
          <w:b/>
        </w:rPr>
        <w:t>E. 14</w:t>
      </w:r>
    </w:p>
    <w:p>
      <w:r>
        <w:t>Par ordonnance du 20 mars 2014, la chambre de céans a mandaté le docteur G______, spécialiste FMH en psychothérapie et psychiatrie.</w:t>
      </w:r>
    </w:p>
    <w:p>
      <w:r>
        <w:rPr>
          <w:b/>
        </w:rPr>
        <w:t>E. 15</w:t>
      </w:r>
    </w:p>
    <w:p>
      <w:r>
        <w:t>L’expert a rendu son rapport d’expertise en date du 6 février 2017. Il a retenu les diagnostics de trouble de la personnalité de type histrionique, dépression majeure sévère chronique et anxiété généralisée. L’expert conclut que la recourante a présenté des limitations psychqiues importantes depuis le 18 juin 2010, qui se sont aggravées au cours de ces dernières années. Les différents troubles psychiatriques, leur intensité et leur persistance entraînent une incapacité de travail de 100% dans l’activité habituelle ainsi que dans une activité adaptée depuis le 10 juin 2010, sans modification à ce jour. L’exigibilité d’une reprise de travail est actuellement nulle. Le pronostic est défavorable, vraisemblablement de manière durable.</w:t>
      </w:r>
    </w:p>
    <w:p>
      <w:r>
        <w:rPr>
          <w:b/>
        </w:rPr>
        <w:t>E. 16</w:t>
      </w:r>
    </w:p>
    <w:p>
      <w:r>
        <w:t>Par courier du 6 mars 2017, la recourante relève que le rapport du Dr G______ répond aux conditions de la jurisprudence pour lui reconnaître pleine valeur probante et conclut à l’octroi d’une rente entière d’invalidité depuis le 1er juin 2012.</w:t>
      </w:r>
    </w:p>
    <w:p>
      <w:r>
        <w:rPr>
          <w:b/>
        </w:rPr>
        <w:t>E. 17</w:t>
      </w:r>
    </w:p>
    <w:p>
      <w:r>
        <w:t>Dans ses observations du 7 mars 2017, l’intimé indique que l’expertise doit se voir attribuer pleine valeur probante et qu’il convient d’admettre une capacité de travail nulle depuis le mois de juin 2010. La recourante a droit en principe à une rente entière d’invalidité depuis le 1er juin 2011. Toputefois, dès lors qu’elle a déposé sa demande le 16 juillet 2012, elle ne peut se voir allouer une rente qu’à compter du 1er janvier 2013.</w:t>
      </w:r>
    </w:p>
    <w:p>
      <w:r>
        <w:rPr>
          <w:b/>
        </w:rPr>
        <w:t>E. 18</w:t>
      </w:r>
    </w:p>
    <w:p>
      <w:r>
        <w:t>Après échange des écritures,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w:t>
      </w:r>
    </w:p>
    <w:p>
      <w:r>
        <w:t>A/3505/2013 - 5/9 - 1er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w:t>
      </w:r>
    </w:p>
    <w:p>
      <w:r>
        <w:rPr>
          <w:b/>
        </w:rPr>
        <w:t>E. 22</w:t>
      </w:r>
    </w:p>
    <w:p>
      <w:r>
        <w:t>juin 2005, FF 2005 p. 4322). 3. Interjeté dans le délai et la forme prescrits par la loi, le recours est recevable (art. 56 et 60 LPGA). 4. Le litige porte sur le point de savoir si la recourante présente une atteinte à la santé invalidante ouvrant droit à des prestations de l’assurance 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w:t>
      </w:r>
    </w:p>
    <w:p>
      <w:r>
        <w:t>A/3505/2013 - 6/9 -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A/3505/2013 - 7/9 - 9. En l’espèce, au vu des avis contradictoires des divers experts et médecins ayant examiné la recourante, la chambre de céans a mis en œuvre une expertise judiciaire afin de clarifier les éléments médicaux. Le Dr G______ a examiné la recourante en date des 29 novembre 2014, 10 janvier 2015, 27 juin 2015 et 16 juillet 2016. Dans son rapport du 6 février 2017, l’expert a diagnostiqué un trouble de la personnalité histrionique, une dépression majeure sévère chronique et une anxiété généralisée. Le rapport d’expertise comporte une anamnèse familiale, personnelle et socio-professionnelle détaillée, relate les données subjectives et les plaintes de la recourante. L’expert fait état des constatations objectives et du status clinique. Reprenant chaque diagnostic, le Dr G______ expose de manière circonstanciée les raisons pour lesquelles il a retenu ces diagnostics, les confrontant à ceux retenus par les différents médecins ayant examiné la recourante. Il a expliqué également les raisons pour lesquelles il ne partageait pas les avis des Drs D______, F______, E______ et C______. Selon l’expert, les troubles constatés entraînent une incapacité de travail totale depuis le 18 juin 2010, dans toute activité. La chambre de céans constate que l’expertise du Dr G______ est fondée sur le dossier complet, qu’elle est extrêmement fouillée et que l’expert a procédé à une discussion détaillée du cas, tant du point de vue des diagnostics que de la capacité de travail. Ses conclusions sont claires et convaincantes. Il convient ainsi d’admettre la valeur probante de l’expertise et de suivre les conclusions du Dr G______, selon lesquelles les atteintes à la santé de la recourante entrainent une incapacité de travail totale depuis le 18 juin 2010. Les parties ne contestent pas la valeur probante de l’expertise judiciaire et admettent qu’il convient de suivre les conclusions de l’expert. 10. Selon l’art.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l’espèce, la recourante présente un degré d’invalidité de 100% dès le mois de juin 2011, de sorte qu’elle a droit, en principe, à une rente entière d’invalidité depuis le 1er juin 2011. Toutefois, comme le relève l’intimé, dès lors que la recourante a déposé sa demande le 16 juillet 2012, elle ne peut prétendre à la rente au plus tôt six mois après, soit dès le 1er janvier 2013 (cf. art. 29 al. 1 LAI ; ATF 9C_953/2011). 11. Au vu de ce qui précède, le recours est partiellement admis. 12. La recourante, qui obtient gain de cause, a droit à une indemnité à titre de dépens, que la chambre de céans fixe en l’occurrence à CHF 3'000.- (art. 61 let. g LPGA ;</w:t>
      </w:r>
    </w:p>
    <w:p>
      <w:r>
        <w:t>A/3505/2013 - 8/9 - art. 89H de la loi sur la procédure administrative du 12 septembre 1985, LPA-GE - E 5 10 et art. 6 du règlement sur les frais, émoluments et indemnités en procédure administrative du 30 juillet 1986, RFPA - E 5 10.03). 13. L’émolument, arrêté à CHF 500.-, est mis à la charge de l’intimé, qui succombe. 14. Reste à statuer sur le sort des frais d’expertise. Conformément à la jurisprudence du Tribunal fédéral (cf. ATF 139 V 496 consid. 4.3 p. 501 s.), les frais qui découlent de la mise en oeuvre d'une expertise judiciaire pluridisciplinaire peuvent le cas échéant être mis à la charge de l'assurance- invalidité. Cette règle, qu'il convient également d'appliquer dans son principe aux expertises judiciaires mono- et bidisciplinaires (cf. ATF 139 V 349 consid. 5.4 p. 357),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137 V 210 consid. 4.4.2 p. 265 s.).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p. 502). En l’espèce, force est de constater que le SMR avait constaté que trois expertises retenaient des diagnostics différents et des interprétations différents. L’intimé, qui avait dénié toute valeur probante aux expertises des Drs E______ et F______, avait néanmoins rendu sa décision, sans effectuer d’investigations supplémentaires, se contentant de se rallier à l’avis succinct dudit SMR qui considérait que la recourante présentait une pleine capacité de travail chez un autre employeur. Ce faisant, il n’a laissé d’autre choix à la chambre de céans que d’ordonner une expertise judicaire afin précisément de clarifier les aspects médicaux.</w:t>
      </w:r>
    </w:p>
    <w:p>
      <w:r>
        <w:t>A/3505/2013 - 9/9 -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