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ATAS/315/2011 vom 28. April 2010</w:t>
      </w:r>
    </w:p>
    <w:p>
      <w:r>
        <w:t>GE Cour de justice, 2010-04-28, FR</w:t>
      </w:r>
    </w:p>
    <w:p>
      <w:r>
        <w:rPr>
          <w:b/>
        </w:rPr>
        <w:t xml:space="preserve">Quelle: </w:t>
      </w:r>
      <w:r>
        <w:t>https://mcp.opencaselaw.ch/entscheid/ge_gerichte_ATAS_315_2011</w:t>
      </w:r>
    </w:p>
    <w:p>
      <w:r>
        <w:t>FR: GE_GERICHTE ATAS/315/2011 du 28 avril 2010</w:t>
      </w:r>
    </w:p>
    <w:p>
      <w:r>
        <w:t>IT: GE_GERICHTE ATAS/315/2011 del 28 aprile 2010</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 délai et la forme prévus par la loi, le recours est recevable (art. 56 et 60 LPGA, art. 89B de la loi sur la procédure administrative, du 12 septembre 1985 - LPA ; RS E 5 10).</w:t>
      </w:r>
    </w:p>
    <w:p>
      <w:r>
        <w:rPr>
          <w:b/>
        </w:rPr>
        <w:t>E. 4</w:t>
      </w:r>
    </w:p>
    <w:p>
      <w:r>
        <w:t>La Cour de céans doit se prononcer sur la demande de restitution de l’effet suspensif formulée par le recourant. Il convient à cet égard de relever que le libellé de la décision litigieuse quant au retrait de l’effet suspensif n’est pas très heureux, dans la mesure où l’intimée fait allusion à sa décision incidente du 26 octobre 2010, annulée par arrêt de la Cour de céans du 26 janvier 2011. Cela étant, il convient d’admettre que l’intimée a retiré l’effet suspensif au recours, dès lors qu’elle a effectivement procédé à compensation.</w:t>
      </w:r>
    </w:p>
    <w:p>
      <w:r>
        <w:rPr>
          <w:b/>
        </w:rPr>
        <w:t>E. 5</w:t>
      </w:r>
    </w:p>
    <w:p>
      <w:r>
        <w:t>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assuré si la compensation porte atteinte au minimum vital de</w:t>
      </w:r>
    </w:p>
    <w:p>
      <w:r>
        <w:t>A/663/2011 - 5/7 - celui-ci (ATF 131 V 252 consid. 1.2, 115 V 343 consid. 2c). En effet, ne peuvent être éteintes par compensation les créances dont la nature spéciale exigent le paiement effectif entre les mains du créancier, telles que des aliments ou le salaire absolument nécessaires à l'entretien du débiteur et de sa famille (ATF 108 V 47 consid. 2). Pour le calcul du minimum vital de l'assuré, il y a lieu d'appliquer les règles du droit des poursuites (ATF 131 V 252 consid. 1.2).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aux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1er janvier 2003).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6</w:t>
      </w:r>
    </w:p>
    <w:p>
      <w:r>
        <w:t>Le recourant sollicite la restitution de l’effet suspensif, alléguant que la décision prise par l’intimée porte atteinte à son minimum vital. L’intimée quant à elle s’oppose au rétablissement de l’effet suspensif, faisant valoir que ses intérêts sont menacés, que le recourant n’a présenté aucune pièce justificative relative au</w:t>
      </w:r>
    </w:p>
    <w:p>
      <w:r>
        <w:t>A/663/2011 - 6/7 - paiement de son présumé loyer, ni quant au montant de sa prime d’assurance- maladie, qu’en cas de colocation il convient d’appliquer le montant de base pour couple marié réduit de moitié et, enfin, qu’elle a largement estimé les dépenses du recourant à 2'459 fr. 20.</w:t>
      </w:r>
    </w:p>
    <w:p>
      <w:r>
        <w:rPr>
          <w:b/>
        </w:rPr>
        <w:t>E. 7</w:t>
      </w:r>
    </w:p>
    <w:p>
      <w:r>
        <w:t>Il résulte des pièces du dossier que le recourant est au bénéfice d’une rente de vieillesse d’un montant de 2'280 fr. par mois en 2010 (2'320 fr. dès le 1er janvier 2011), ainsi que d’une rente LPP de 1’253 fr. Le recourant a cessé toute activité lucrative et ne perçoit plus aucun salaire. Le total de ses revenus se montait ainsi à 3'533 fr. par mois en 2010 et à 3'573 fr. dès le 1er janvier 2011. Selon le procès- verbal de saisie du 24 septembre 2010 de l’Office des poursuites, la rente LPP fait cependant l’objet d’une retenue mensuelle à hauteur de 590 fr. par mois, ce qui ramène les revenus disponibles à 2'943 fr. en 2010 et à 2’983 fr. dès le 1er janvier 2011. Selon les déclarations fiscales produites par le recourant, il ne dispose d’aucune fortune immobilière et sa fortune mobilière s’élevait à 1'217 fr. au 31 décembre 2009. Au titre des charges, l’intimée a retenu, à l’instar de l’OP, un montant de 1'300 fr. qui correspond à celui indiqué par le recourant lui-même sur le formulaire de calcul du minimum vital. Hormis une facture, aucune pièce n’atteste en l’état du paiement effectif par le recourant d’un loyer de 2'000 fr, en mains de Madame E____________. La prime d’assurance-maladie ASSURA pour l’assurance obligatoire des soins s’élève à 309 fr. 20 par mois. S’agissant enfin du minimum vital, l’intimée l’a fixé à 850 fr. par mois, considérant qu’en cas de colocation, les règles concernant un couple marié ou vivant en concubinage s’appliquent. Le recourant a cependant toujours nié vivre en concubinage, expliquant qu’il s’agit d’une colocation et qu’au vu du marché immobilier tendu à Genève et de sa situation financière, il ne lui a pas été possible d’honorer le bail qu’il avait conclu en septembre 2010. Pour le surplus, il soutient que le minimum vital pour une personne seule doit être retenu, les règles sur le concubinage ne s’appliquant pas dans son cas (cf. Normes d’insaisissabilité RS E 3 60.04 ; ATF 130 III 765). Cette question relève toutefois du fond du litige. Cela étant, si l’on se réfère aux montants retenus par l’intimée, à savoir le loyer de 1'300 fr., 850 fr. minimum vital et 309 fr. 20 primes, le total des charges du recourant se monte à 2'459 fr. 20. Or, dans la mesure où les revenus effectivement à disposition du recourant, compte tenu de la retenue de 590 fr. opérée par l’OP, sont de 2'943 fr. en 2010 et 2’983 fr. en 2011, force est de constater prima faciae que la compensation opérée à hauteur de 1'000 fr. par mois entame son minimum vital. Au vu de ce qui précède, la Cour de céans considère qu’il convient d’admettre la requête du recourant et de restituer l’effet suspensif.</w:t>
      </w:r>
    </w:p>
    <w:p>
      <w:r>
        <w:t>A/663/2011 - 7/7 -</w:t>
      </w:r>
    </w:p>
    <w:p>
      <w:r>
        <w:t>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