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ATAS/314/2021 vom 1. April 2021</w:t>
      </w:r>
    </w:p>
    <w:p>
      <w:r>
        <w:t>GE Cour de justice, 2021-04-01, FR</w:t>
      </w:r>
    </w:p>
    <w:p>
      <w:r>
        <w:rPr>
          <w:b/>
        </w:rPr>
        <w:t xml:space="preserve">Quelle: </w:t>
      </w:r>
      <w:r>
        <w:t>https://mcp.opencaselaw.ch/entscheid/ge_gerichte_ATAS_314_2021</w:t>
      </w:r>
    </w:p>
    <w:p>
      <w:r>
        <w:t>FR: GE_GERICHTE ATAS/314/2021 du 1 avril 2021</w:t>
      </w:r>
    </w:p>
    <w:p>
      <w:r>
        <w:t>IT: GE_GERICHTE ATAS/314/2021 del 1 aprile 2021</w:t>
      </w:r>
    </w:p>
    <w:p>
      <w:pPr>
        <w:pStyle w:val="Heading2"/>
      </w:pPr>
      <w:r>
        <w:t>Erwägungen</w:t>
      </w:r>
    </w:p>
    <w:p>
      <w:r>
        <w:rPr>
          <w:b/>
        </w:rPr>
        <w:t>E. 1</w:t>
      </w:r>
    </w:p>
    <w:p>
      <w:r>
        <w:t>a. Selon l’art. 73 al. 1 de la loi fédérale sur la prévoyance professionnelle vieillesse, survivants et invalidité du 25 juin 1982 (LPP ; RS 831.40), applicable à la prévoyance surobligatoire conformément à l’art. 49 al. 2 ch. 22 LPP (institution enveloppante – voir infra consid. 6) ou 89bis al. 6 ch. 19 du Code civil suisse du 10 décembre 1907 (CC - RS 210 ; « splitting » voir infra. consid. 6), chaque canton désigne un tribunal qui connaît, en dernière instance cantonale, des contestations opposant institutions de prévoyance, employeurs et ayants droit.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Le for de l'action est au siège ou domicile suisse du défendeur ou au lieu de l'exploitation dans laquelle l'assuré a été engagé (art. 73 al. 3 LPP).</w:t>
      </w:r>
    </w:p>
    <w:p>
      <w:r>
        <w:rPr>
          <w:b/>
        </w:rPr>
        <w:t>E. 2</w:t>
      </w:r>
    </w:p>
    <w:p>
      <w:r>
        <w:t>Le droit d’action prévu par l’art. 73 al. 1 LPP n’est soumis, comme tel, à l’observation d’aucun délai et n’est limité que par la prescription (SPIRA, Le contentieux des assurances sociales fédérales et la procédure cantonale, Recueil de jurisprudence neuchâteloise, 1984, p. 19 ; SCHWARZENBACH-HANHART, Die Rechtspflege nach dem BVG, SZS 1983, p. 182 ; art. 41 al. LPP).</w:t>
      </w:r>
    </w:p>
    <w:p>
      <w:r>
        <w:rPr>
          <w:b/>
        </w:rPr>
        <w:t>E. 3</w:t>
      </w:r>
    </w:p>
    <w:p>
      <w:r>
        <w:t>a.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par les art. 89A et ss. Selon l’art. 89B al. 1 LPA, la demande est adressée en 2 exemplaires à la chambre des assurances sociales de la Cour de justice soit par une lettre, soit par un mémoire signé, comportant : a) les noms, prénoms, domicile ou résidence des parties ou, s'il s'agit d'une personne morale, toute autre désignation précise; b) un exposé succinct des faits ou des motifs invoqués; c) des conclusions. L’alinéa 3 de cette même disposition prévoit que si la lettre ou le mémoire n'est pas conforme à ces règles, la chambre des assurances sociales de la Cour de justice impartit un délai convenable à son auteur pour le compléter en indiquant qu'en cas d'inobservation la demande ou le recours est écarté.</w:t>
      </w:r>
    </w:p>
    <w:p>
      <w:r>
        <w:t>A/2890/2019 - 4/7 - b/aa. À teneur de l’art. 61 let. b LPGA, sous réserve de l’art. 1 al. 3 de la loi fédérale du 20 décembre 1968 sur la procédure administrative, la procédure devant le tribunal cantonal des assurances est réglée par le droit cantonal. Elle doit satisfaire aux exigences suivantes :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L’art. 10 de l’ordonnance sur la partie générale du droit des assurances sociales du 11 septembre 2002 (OPGA - RS 830.11) prévoit notamment que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b/bb. Conformément au principe de l'interdiction du formalisme excessif en matière de droit des assurances sociales, le juge saisi d'un recours ne doit pas se montrer trop strict lorsqu'il s'agit d'apprécier la forme et le contenu de l'acte de recours. À cet égard, la jurisprudence a précisé qu'il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 délai légal de recours ; demeure réservé l'abus de droit (ATF 143 V 249 consid. 6.2 ; ATF 134 V 162 ; arrêts du Tribunal fédéral 8C_805/2012 du 12 mars 2013 consid. 7 ; 9C_248/2010 du 23 juin 2010 consid. 3.1; voir également Ueli KIESER, Bundesgesetz über den Allgemeinen Teil des Sozialversicherungsrechts (ATSG), in: Schweizerisches Bundesverwaltungsrecht [SBVR], Soziale Sicherheit, 2ème éd., n. 193 p. 299). Dans ce contexte, le Tribunal fédéral a considéré que l'existence d'un éventuel abus de droit pouvait être admise plus facilement lorsque l'assuré était représenté par un mandataire professionnel, dès lors que celui-ci est censé connaître les exigences formelles d'un acte de recours (ATF 134 V 162 consid. 5.1). L’art.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En cas de représentation, l'octroi d'un délai supplémentaire en application des dispositions précitées s'impose uniquement dans</w:t>
      </w:r>
    </w:p>
    <w:p>
      <w:r>
        <w:t>A/2890/2019 - 5/7 -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(arrêt du Tribunal fédéral 8C_817/2017 du 31 août 2018 consid. 4 ; arrêt du Tribunal fédéral 9C_191/2016 du 18 mai 2016). c. Bien que la LPGA ne soit pas applicable, la jurisprudence rendue à propos de l'art. 61 LPGA, dont la teneur est similaire à la LPA, est de nature à expliciter les exigences de l’art. 89H LPA (voir dans le même sens les ATAS/897/2013 du 17 septembre 2013 consid. 12 et ATAS/1029/2010 du 12 octobre 2010 consid. 6d concernant le devoir des parties de collaborer).</w:t>
      </w:r>
    </w:p>
    <w:p>
      <w:r>
        <w:rPr>
          <w:b/>
        </w:rPr>
        <w:t>E. 4</w:t>
      </w:r>
    </w:p>
    <w:p>
      <w:r>
        <w:t>En l’espèce, la demande du 12 août 2019 comporte un état de fait plus que lacunaire et elle n’est aucunement motivée. On ne connaît rien de l’atteinte à la santé du demandeur, ni des motifs pour lesquels AXA devrait intervenir. Si le demandeur explique effectivement qu’il est au bénéfice de mesures d’ordre professionnel, il ne donne pas la moindre indication sur son invalidité, condition pourtant nécessaire pour qu’il puisse être mis au bénéfice d’une rente de la prévoyance professionnelle. Par ailleurs, la Cour de céans ne dispose même pas des éléments suffisants pour se prononcer sur sa propre compétence. De toute évidence, les conditions de recevabilité prévues par l’art. 89B LPA font défaut. La seule question qui se pose, dans un tel cas, est celle de savoir si la Cour de céans doit impartir à l’assuré un délai pour régulariser ces défauts ou si elle peut, sans autres, la déclarer irrecevable. Le droit d’action prévu par l’art. 73 al. 1 LPP n’est soumis, comme tel, à l’observation d’aucun délai (voir supra consid. 2). L’assuré ne se trouvait dès lors pas pressé par le temps et aurait pu demander directement à la défenderesse une copie de ses règlements et, parallèlement, requérir le dossier de l’OAI puis, sur la base de ces documents, rédiger une demande comportant une partie en faits et une motivation correctes permettant à la Cour de céans d’examiner sa compétence et, cela fait, apprécier le droit à une rente éventuelle. Tel n’étant pas le cas, les conditions pour l’octroi d’un délai supplémentaire ne sont pas réalisées au vu de la</w:t>
      </w:r>
    </w:p>
    <w:p>
      <w:r>
        <w:t>A/2890/2019 - 6/7 - jurisprudence fédérale susmentionnée, applicable par analogie (cf. consid. 3b § 4 supra). S’y ajoute le fait que la défenderesse a invoqué l’irrecevabilité de la demande, le droit à des prestations étant inexistant en l’absence de décision de l’OAI et l’action n’étant étayée par aucun élément de preuve et que, suite à cette écriture, la Cour de céans a imparti un délai de 15 jours au demandeur pour se déterminer, ce qu’il n’a pas fait alors qu’il aurait pu étayer sa demande du 12 août 2019. Dans de telles circonstances, il y a lieu de déclarer la demande irrecevable, sans qu’un délai supplémentaire ne doive être formellement imparti au demandeur.</w:t>
      </w:r>
    </w:p>
    <w:p>
      <w:r>
        <w:t>A/2890/2019 - 7/7 -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