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ATAS/314/2013 vom 26. März 2013</w:t>
      </w:r>
    </w:p>
    <w:p>
      <w:r>
        <w:t>GE Cour de justice, 2013-03-26, FR</w:t>
      </w:r>
    </w:p>
    <w:p>
      <w:r>
        <w:rPr>
          <w:b/>
        </w:rPr>
        <w:t xml:space="preserve">Quelle: </w:t>
      </w:r>
      <w:r>
        <w:t>https://mcp.opencaselaw.ch/entscheid/ge_gerichte_ATAS_314_2013</w:t>
      </w:r>
    </w:p>
    <w:p>
      <w:r>
        <w:t>FR: GE_GERICHTE ATAS/314/2013 du 26 mars 2013</w:t>
      </w:r>
    </w:p>
    <w:p>
      <w:r>
        <w:t>IT: GE_GERICHTE ATAS/314/2013 del 26 marzo 2013</w:t>
      </w:r>
    </w:p>
    <w:p>
      <w:pPr>
        <w:pStyle w:val="Heading2"/>
      </w:pPr>
      <w:r>
        <w:t>Regeste</w:t>
      </w:r>
    </w:p>
    <w:p>
      <w:r>
        <w:t>Résumé: En taisant l'existence de certaines rentes françaises, l'assurée ne s'est pas rendue coupable d'escroquerie, à défaut de dissimulation astucieuse. En effet, au vu des autres rentes déclarées, le SPC ne pouvait manquer de comprendre que de telles rentes seraient immanquablement ajustées au coût de la vie et subiraient de ce fait des augmentations. Faute d'avoir procédé aux investigations et aux contrôles périodiques prévus par la loi, notamment de l'avoir amenée à renouveler sa demande, le SPC a fait preuve de négligence dans le contrôle de ce dossier. En revanche, en omettant d'annoncer toutes ses rentes françaises, l'assurée a manqué à son obligation de communiquer. Par conséquent, le délai de prescription pénale applicable est de sept ans.</w:t>
      </w:r>
    </w:p>
    <w:p>
      <w:pPr>
        <w:pStyle w:val="Heading2"/>
      </w:pPr>
      <w:r>
        <w:t>Erwägungen</w:t>
      </w:r>
    </w:p>
    <w:p>
      <w:r>
        <w:rPr>
          <w:b/>
        </w:rPr>
        <w:t>E. 20</w:t>
      </w:r>
    </w:p>
    <w:p>
      <w:r>
        <w:t>Dans sa réponse du 7 décembre 2012 au recours du 10 novembre 2012, le SPC a indiqué que sur la base d'un contrôle périodique du dossier après un premier calcul provisoire effectué le 21 novembre 2011, il apparaissait que la situation patrimoniale de l'assurée avait subi des modifications importantes qui n'avaient pas été prises en compte dans son calcul, en particulier plusieurs rentes de la sécurité sociale française versées en sa faveur depuis plusieurs années, alors que seul un montant trimestriel de 601,50 francs français, soit environ 616 fr. après conversion en francs suisses, avait été déclaré dès le 1er décembre 1984 lors de la demande de prestations, puis confirmé le 27 février 1985. Le SPC rappelle que, suite à la décision provisoire du 21 novembre 2011, confirmée par l'arrêt de la Cour de céans du 28 août 2012, il avait dûment attiré l'attention de l'assurée sur le fait qu'une nouvelle décision pouvait être rendue à l'issue de l'examen des informations collectées. Le contrôle périodique avait ainsi généré la révision du droit aux prestations et le recalcul du montant des prestations dues dès le 1er juin 2002.</w:t>
      </w:r>
    </w:p>
    <w:p>
      <w:r>
        <w:rPr>
          <w:b/>
        </w:rPr>
        <w:t>E. 21</w:t>
      </w:r>
    </w:p>
    <w:p>
      <w:r>
        <w:t>Ce courrier a été transmis à l'assurée et un délai lui a été accordé, afin qu'elle puisse faire part de ses observations. Elle ne s'est pas manifestée.</w:t>
      </w:r>
    </w:p>
    <w:p>
      <w:r>
        <w:rPr>
          <w:b/>
        </w:rPr>
        <w:t>E. 22</w:t>
      </w:r>
    </w:p>
    <w:p>
      <w:r>
        <w:t>Par téléfax du 14 mars 2013, le SPC a, sur demande de la Cour de céans, précisé que "la rente déclarée par l'assurée dès la demande de prestations est la rente servie par la CGIS. Par conséquent, le montant de la rente n'a été soumis à révision qu'à partir du 1er juin 2007 (et non au 1er juin 2002 comme pour les autres rentes), ayant été considéré que le délai légal de cinq ans de l'article 25 LPGA s'appliquait à cette rente dont seules les variations au cours du temps n'avaient pas été annoncées". Le SPC a également rappelé le décompte détaillé de la rubrique "rentes, indemnités et pensions" de la décision du 16 mai 2012.</w:t>
      </w:r>
    </w:p>
    <w:p>
      <w:r>
        <w:rPr>
          <w:b/>
        </w:rPr>
        <w:t>E. 23</w:t>
      </w:r>
    </w:p>
    <w:p>
      <w:r>
        <w:t>Le téléfax a été communiqué à l'assurée et la cause gardée à juger. EN DROIT 1. Conformément à l'art. 134 al. 1 let. a ch. 3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w:t>
      </w:r>
    </w:p>
    <w:p>
      <w:r>
        <w:t>A/3430/2012 - 6/20 -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décision du SPC de révision/reconsidération est postérieure à l'entrée en vigueur de la LPGA, cette dernière s’applique au cas d’espèce. 3.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4. Déposé dans le forme et le délai prescrits, le recours est recevable (art. 9 LPCF, art. 38 al. 4, 56 al. 1 et 61 al. 1 LPGA; art. 43 LPCC). 5. Le litige porte sur le bien-fondé de la décision de restitution des prestations complémentaires versées du 1er juin 2002 au 31 mai 2012, à hauteur de 48'392 fr.</w:t>
      </w:r>
    </w:p>
    <w:p>
      <w:r>
        <w:t>A/3430/2012 - 7/20 - La demande de remise, formulée par la recourante dans le cadre de son opposition, ne fait pas l'objet de la présente procédure. 6.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t>A/3430/2012 - 8/20 - 7. Dans le cas d'espèce, l'assurée a perçu des revenus qu'elle a omis d'annoncer au SPC et dont celui-ci n'a, partant, pas tenu compte dans le calcul des prestations qu'il lui a versées. Que l'assurée n'ait pas réalisé que le SPC ne prenait pas en considération toutes ses rentes françaises relève de l'examen de la bonne foi, à effectuer ultérieurement dans le cadre de la demande de remise. Il y a en effet lieu de rappeler à cet égard que la restitution de prestations vise à rétablir une situation conforme au droit, sans égard à l'éventuelle bonne foi de l'assurée. Les conditions pour exiger la restitution des prestations indûment perçues sont ainsi remplies. 8.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w:t>
      </w:r>
    </w:p>
    <w:p>
      <w:r>
        <w:rPr>
          <w:b/>
        </w:rPr>
        <w:t>E. 31</w:t>
      </w:r>
    </w:p>
    <w:p>
      <w:r>
        <w:t>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w:t>
      </w:r>
    </w:p>
    <w:p>
      <w:r>
        <w:t>A/3430/2012 - 9/20 -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9. Selon l’art. 30 de l’ordonnance sur les prestations complémentaires à l’assurance- 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 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 10. En l'espèce, le contrôle du dossier a été initié en novembre 2011. Le SPC a demandé la production de documents, et, faisant suite aux informations obtenues, le 23 mars 2012 pour les dernières, a rendu la décision litigieuse le 16 mai 2012. Selon la jurisprudence, l'obligation du SPC de procéder tous les 4 ans à la révision du dossier ne permet pas de fixer le début du délai de péremption d'un an de l'art. 25 LPGA à la date à laquelle la révision devait avoir lieu. Selon la jurisprudence,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w:t>
      </w:r>
    </w:p>
    <w:p>
      <w:r>
        <w:t>A/3430/2012 - 10/20 - simplement à rétablir l'ordre légal, après la découverte d'un fait nouveau (ATF P 39/05 du 10 juillet 2006). S'agissant de rentes étrangères, seule l'assurée en connaissait précisément le montant. Elle a régulièrement été invitée à vérifier que les plans de calculs correspondaient à la réalité de ses revenus. On ne peut donc pas retenir que le SPC aurait pu et dû, en faisant preuve de diligence, connaître le montant de ces rentes plus tôt. Il est par ailleurs notoire que l'administration fiscale ne transmet pas d'office au SPC les avis de taxation des bénéficiaires, et cela est confirmé par le fait qu'ils ne figurent pas au dossier de l'assurée. Le délai de péremption d'un an commençant à courir seulement lorsque le SPC dispose de l'ensemble des éléments permettant de réclamer la restitution des prestations indûment perçues, y compris quant au montant dû, ce qui implique de vérifier, après avoir découvert le montant de la rente litigieuse, les autres éléments de calcul des prestations, il s'ensuit que c'est dans le délai de péremption d'une année dès la connaissance de toutes les informations utiles que le SPC a demandé la restitution des prestations versées à tort. 11. L'art. 25 al. 2 LPGA prévoit également que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 12. En réclamant à l'assurée le remboursement des prestations versées à tort depuis le 1er juin 2002, le SPC a appliqué le délai de prescription pénal. S'agissant toutefois de la rente CGIS, le SPC n'en a soumis le montant à révision que depuis le 1er juin 2007, au motif que dans ce cas, seules les augmentations au cours des années n'avaient pas été annoncées. 13.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w:t>
      </w:r>
    </w:p>
    <w:p>
      <w:r>
        <w:t>A/3430/2012 - 11/20 -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w:t>
      </w:r>
    </w:p>
    <w:p>
      <w:r>
        <w:t>A/3430/2012 - 12/20 -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w:t>
      </w:r>
    </w:p>
    <w:p>
      <w:r>
        <w:t>A/3430/2012 - 13/20 -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w:t>
      </w:r>
    </w:p>
    <w:p>
      <w:r>
        <w:t>A/3430/2012 - 14/20 -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w:t>
      </w:r>
    </w:p>
    <w:p>
      <w:r>
        <w:t>A/3430/2012 - 15/20 -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(ATAS/3/2012).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(ATAS/654/2011). Cet arrêt a cependant été annulé par le TF, au motif que rien ne permettait au SPC d'envisager la modification survenue dans la situation financière de l'assuré (ATF 9C_622/2011; cf également ATAS/914/2012 du 19 juillet 2012). 14. En l'espèce, lors du dépôt de la demande de prestations - le 6 décembre 1984 - l'assurée a déclaré avoir pour revenus, outre sa rente AVS de 690 fr., une rente de 354 fr. de la Caisse de retraite de X___________ et une rente française de 55 fr. servie trimestriellement par la Caisse nationale d'assurances Rhône-Alpes (rente CGIS). Elle a en revanche omis d'annoncer au SPC les augmentations régulières dont elle avait bénéficié au cours des années pour la rente française, ce qui a donné lieu à la décision du 21 novembre 2011. Dans son arrêt du 28 août 2012, la Cour de céans a confirmé que la somme de 6'815 fr., représentant les montants versés à tort à l'assurée - du fait que les calculs du SPC tenaient compte des montants indiqués dans la demande de prestations - du 1er décembre 2006 au 30 novembre 2011, devaient être restitués. Le SPC a à cet égard refusé la remise, ce par décision du 3 décembre 2012. L'assurée n'a pas non plus annoncé au SPC les rentes MSA et CARSAT - d'où la décision du 16 mai 2012. Elle a de la sorte violé son obligation d'informer le SPC de tout changement survenu dans sa situation économique et a ainsi commis une</w:t>
      </w:r>
    </w:p>
    <w:p>
      <w:r>
        <w:t>A/3430/2012 - 16/20 - tromperie par omission. Reste à déterminer si cette violation est constitutive d'une tromperie astucieuse. 15. Il y a d'emblée lieu de constater qu'elle avait correctement déclaré à l'administration fiscale cantonale les augmentations de ses revenus, de sorte qu'elle pouvait raisonnablement penser que le SPC en avait connaissance en vérifiant régulièrement les avis de taxation, ce à quoi il aurait du reste dû procéder après 4 ans déjà dès l'octroi lors d'un examen périodique. Quoi qu'il en soit, le comportement de l'assurée, qui a tu l'existence des rentes MSA et CARSAT à l'égard du SPC, ne saurait - même si elle a régulièrement reçu des communications l'invitant à transmettre tout changement dans sa situation économique - à elle seule, constituer une tromperie astucieuse, vu l'absence de position de garant de sa part vis-à-vis du SPC (arrêt du Tribunal fédéral du 28 septembre 2000 précité; ATF 127 IV 163, arrêt du Tribunal fédéral du 3 février 2012 précité; arrêt du Tribunal fédéral du 31 août 2012 8C 791/2011). Il est vrai que l'assurée a été régulièrement informée de la portée de son obligation de renseigner. Il est vrai également que le SPC n'a pas la possibilité de vérifier chaque année la situation financière de l'ensemble des bénéficiaires, en les interrogeant précisément ou en examinant leur taxation fiscale. En l'espèce toutefois, il ne pouvait manquer de comprendre que des rentes telles que celles qu'avait déclarées l'assurée seraient immanquablement ajustées au coût de la vie notamment et subiraient de ce fait des augmentations. Des vérifications régulières s'imposaient dans ces conditions. Or, il n'a procédé à aucune investigation qui lui aurait permis de se rendre compte de l'augmentation des revenus de l'assurée et d'éviter le versement de prestations indues. Il lui aurait suffi à cet égard de consulter les taxations fiscales de l'assurée. Il a versé ses prestations à l'assurée de manière routinière, sans jamais lui demander de s’exprimer sur sa situation financière en l’amenant à renouveler sa demande ou en lui transmettant le formulaire usuel en matière de révision. Il n'a particulièrement pas procédé aux contrôles périodiques prescrits à l'art. 30 OPC. On ne peut dès lors que reprocher au SPC d'avoir fait preuve de négligence dans le contrôle de ce dossier. Pour l'ensemble de ces motifs, la Cour de céans estime que l'assurée ne s'est pas rendue coupable d'escroquerie, à défaut de dissimulation astucieuse. Aussi la restitution de prestations indument perçues réclamée par décision du 16 mai 2012, confirmée sur opposition le 2 novembre 2012, ne doit-elle pas être soumise à la prescription pénale. 16. Cela étant, il convient encore d’examiner si l'assurée ne s’est pas rendue coupable d’une violation de l’obligation de renseigner (art. 31 LPC).</w:t>
      </w:r>
    </w:p>
    <w:p>
      <w:r>
        <w:t>A/3430/2012 - 17/20 - Jusqu’au 31 décembre 2007, l’art. 16 al. 1er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C'est l’art. 24 OPC-AVS/AI, toujours applicable, qui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Depuis le 1er janvier 2008, les dispositions pénales font l’objet de l’art. 31 LPC. Selon l’alinéa 1 lettre a de cette disposition,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A noter que l’art. 31 LPGA n’entre en considération qu’en cas de modification importante des circonstances, soit plus de 120 fr. par année en matière de prestations complémentaires (voir art. 25 al. 1 let. d OPC-AVS/AI). Dans un ATF 131 IV 83, le Tribunal fédéral a précisé que l’infraction de l’art. 16 al. 1er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w:t>
      </w:r>
    </w:p>
    <w:p>
      <w:r>
        <w:t>A/3430/2012 - 18/20 - 16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Dans l’ATF 131 IV 83, la recourante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17. Il est manifeste que l'assurée, qui n'a pas annoncé toutes ses rente françaises, a manqué à son obligation de communiquer, au sens de l'art. 31 LPC en vigueur dès le 1er janvier 2008 et de l'art. 16 al. 1 aLPC en vigueur jusqu'au 31 décembre 2007, particulièrement au regard des informations générales reçues annuellement et qui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au SPC (ATF 131 IV 83; ATAS 1078/2012 du 30 août 2012). En conséquence, la prescription pénale de sept ans est applicable en l'espèce, de sorte que la demande de restitution devra porter sur la période débutant le 1er juin 2005 en lieu et place du 1er juin 2002.</w:t>
      </w:r>
    </w:p>
    <w:p>
      <w:r>
        <w:t>A/3430/2012 - 19/20 - 18. L'assurée allègue ne pas comprendre comment le SPC est arrivé au montant de 48'392 fr., dont il lui réclame la restitution. Il résulte toutefois des tableaux figurant en annexe de la décision du 16 mai 2012 qu'il a procédé correctement au calcul des prestations dues, compte tenu des rentes non déclarées et des prestations qui avaient été versées. 19. Le recours est partiellement admis et les décisions des 16 mai et 2 novembre 2012 sont annulées en tant qu'elles réclament la restitution de prestations du 1er juin 2002 au 31 mai 2007, et la cause est renvoyée au SPC pour nouveau calcul quant au montant versé à tort du 1er juin 2005 au 31 mai 2012 et nouvelle décision, étant précisé que les montants non déclarés de la rente CGIS ne sont soumis à révision qu'à compter du 1er juin 2007. 20. Il y a enfin lieu de rappeler que la restitution ne peut toutefois être exigée lorsque l’intéressé était de bonne foi et qu’elle le mettrait dans une situation difficile (art. 25 al. 1 LPGA). La Cour de céans rappelle que la question de la bonne foi de l'assurée,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w:t>
      </w:r>
    </w:p>
    <w:p>
      <w:r>
        <w:t>A/3430/2012 - 20/20 - PAR CES MOTIFS, LA CHAMBRE DES ASSURANCES SOCIALES : Statuant A la forme : 1. Déclare le recours recevable. Au fond : 2. L'admet partiellement et annule les décisions des 16 mai et 2 novembre 2012. 3. Renvoie la cause au SPC pour nouveau calcul quant au montant versé à tort du 1er juin 2005 au 31 mai 2012 et nouvelle décision, étant précisé que les montants non déclarés de la rente CGIS ne sont soumis à révision qu'à compter du 1er juin 2007.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