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ATAS/313/2013 vom 26. März 2013</w:t>
      </w:r>
    </w:p>
    <w:p>
      <w:r>
        <w:t>GE Cour de justice, 2013-03-26, FR</w:t>
      </w:r>
    </w:p>
    <w:p>
      <w:r>
        <w:rPr>
          <w:b/>
        </w:rPr>
        <w:t xml:space="preserve">Quelle: </w:t>
      </w:r>
      <w:r>
        <w:t>https://mcp.opencaselaw.ch/entscheid/ge_gerichte_ATAS_313_2013</w:t>
      </w:r>
    </w:p>
    <w:p>
      <w:r>
        <w:t>FR: GE_GERICHTE ATAS/313/2013 du 26 mars 2013</w:t>
      </w:r>
    </w:p>
    <w:p>
      <w:r>
        <w:t>IT: GE_GERICHTE ATAS/313/2013 del 26 marzo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La LPGA, entrée en vigueur le 1er janvier 2003, est applicable au cas d'espèce.</w:t>
      </w:r>
    </w:p>
    <w:p>
      <w:r>
        <w:t>A/2569/2012 - 4/7 -</w:t>
      </w:r>
    </w:p>
    <w:p>
      <w:r>
        <w:rPr>
          <w:b/>
        </w:rPr>
        <w:t>E. 3</w:t>
      </w:r>
    </w:p>
    <w:p>
      <w:r>
        <w:t>Le recours a été interjeté dans les forme et délai légaux (art. 9 LPFC et 43 al. 1 LPCC), de sorte qu'il est recevable.</w:t>
      </w:r>
    </w:p>
    <w:p>
      <w:r>
        <w:rPr>
          <w:b/>
        </w:rPr>
        <w:t>E. 4</w:t>
      </w:r>
    </w:p>
    <w:p>
      <w:r>
        <w:t>Le litige porte sur la recevabilité de l'opposition formée par l'intéressée, représentée par sa fille, le 14 juin 2012 à la décision du 30 janvier 2012.</w:t>
      </w:r>
    </w:p>
    <w:p>
      <w:r>
        <w:rPr>
          <w:b/>
        </w:rPr>
        <w:t>E. 5</w:t>
      </w:r>
    </w:p>
    <w:p>
      <w:r>
        <w:t>Aux termes de l'art. 8 al. 1 de la loi sur les prestations fédérales complémentaires à l’assurance-vieillesse et survivants et à l’assurance-invalidité, du 14 octobre 1965 (LPFC; RS J 4 20), les décisions prises par le service peuvent être attaquées, dans les 30 jours suivant leur notification, par la voie de l'opposition auprès de l'autorité qui les a rendues, à l'exception des décisions d'ordonnancement de la procédure. S'agissant des prestations complémentaires cantonales, l'art. 42 LPCC prévoit le même délai.</w:t>
      </w:r>
    </w:p>
    <w:p>
      <w:r>
        <w:rPr>
          <w:b/>
        </w:rPr>
        <w:t>E. 6</w:t>
      </w:r>
    </w:p>
    <w:p>
      <w:r>
        <w:t>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t>A/2569/2012 - 5/7 -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w:t>
      </w:r>
    </w:p>
    <w:p>
      <w:r>
        <w:rPr>
          <w:b/>
        </w:rPr>
        <w:t>E. 11</w:t>
      </w:r>
    </w:p>
    <w:p>
      <w:r>
        <w:t>Dans son recours du 22 août 2012, l'intéressée, représentée par sa fille, entend également contester cette nouvelle décision. Il y a toutefois lieu de rappeler qu'aucune décision sur opposition n'a été rendue ensuite de cette décision. Or, la procédure d'opposition est un véritable moyen de droit que l'intéressée doit utiliser avant de saisir la Cour de céans (ATF du 6 avril 2000, cause U 407/99). Le recours, prématuré, ne peut qu'être déclaré irrecevable.</w:t>
      </w:r>
    </w:p>
    <w:p>
      <w:r>
        <w:rPr>
          <w:b/>
        </w:rPr>
        <w:t>E. 12</w:t>
      </w:r>
    </w:p>
    <w:p>
      <w:r>
        <w:t>Selon l'art. 11 al. 3 de la loi sur la procédure administrative, du 12 septembre 1985 (LPA; RS E 5 10), si l'autorité décline sa compétence, elle transmet d'office l'affaire à l'autorité compétente et en avise les parties.</w:t>
      </w:r>
    </w:p>
    <w:p>
      <w:r>
        <w:rPr>
          <w:b/>
        </w:rPr>
        <w:t>E. 13</w:t>
      </w:r>
    </w:p>
    <w:p>
      <w:r>
        <w:t>En l'occurrence, le recours interjeté par l'intéressée doit être transmis à l'intimé comme objet de sa compétence.</w:t>
      </w:r>
    </w:p>
    <w:p>
      <w:r>
        <w:t>A/2569/2012 - 7/7 - PAR CES MOTIFS, LA CHAMBRE DES ASSURANCES SOCIALES : 1. Déclare le recours interjeté contre la décision sur opposition recevable et le rejette. 2. Déclare le recours interjeté contre la décision irrecevable et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