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ATAS/312/2017 vom 18. April 2017</w:t>
      </w:r>
    </w:p>
    <w:p>
      <w:r>
        <w:t>GE Cour de justice, 2017-04-18, FR</w:t>
      </w:r>
    </w:p>
    <w:p>
      <w:r>
        <w:rPr>
          <w:b/>
        </w:rPr>
        <w:t xml:space="preserve">Quelle: </w:t>
      </w:r>
      <w:r>
        <w:t>https://mcp.opencaselaw.ch/entscheid/ge_gerichte_ATAS_312_2017</w:t>
      </w:r>
    </w:p>
    <w:p>
      <w:r>
        <w:t>FR: GE_GERICHTE ATAS/312/2017 du 18 avril 2017</w:t>
      </w:r>
    </w:p>
    <w:p>
      <w:r>
        <w:t>IT: GE_GERICHTE ATAS/312/2017 del 18 aprile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30 août 2016 contre la décision litigieuse du 28 juin 2016, reçue par le recourant le lendemain, a été formé en temps utile (art. 60 al. 1 LPGA), compte tenu de la suspension des délais de recours du 15 juillet au 15 août inclusivement (art. 38 al. 4 let. b LPGA et art. 89C let. b LPA). Il satisfait aux exigences de forme et de contenu prévues par l’art. 61 let. b LPGA (cf. aussi art. 89B LPA). Enfin, touché par ladite décision, et ayant un intérêt digne de protection à son annulation ou à sa modification, le recourant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/Bettina KAHIL-WOLFF /Stéphanie PERRENOUD, Droit suisse de la sécurité sociale, vol. II, 2015, n. 27 ss; Ueli KIESER, ATSG Kommentar, 3ème éd., 2015, n. 13 ss ad art. 43, n. 95 ss ad art. 61;</w:t>
      </w:r>
    </w:p>
    <w:p>
      <w:r>
        <w:t>A/2839/2016 - 20/30 -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 cf. consid. 8).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l’espèce, les faits pertinents dans le cadre de la nouvelle demande de prestations remontent à novembre 2014, et la décision querellée du 28 juin 2016 est postérieure à l’entrée en vigueur des modifications de la LAI suscitées. Par conséquent, du point de vue matériel, le droit éventuel aux prestations doit être examiné au regard de la LAI dans sa versions actuellement en vigueur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w:t>
      </w:r>
    </w:p>
    <w:p>
      <w:r>
        <w:t>A/2839/2016 - 21/30 -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litige porte, dans le cadre d'une nouvelle demande de prestations, sur le droit du recourant à des prestations de l’assurance-invalidité, en particulier à une rente d’invalidité et à des mesures d’ordre professionnel, sous la forme d’une orientation professionnelle. Il est précisé que, par décision du 16 octobre 2013, entrée en force, le droit à une rente entière d’invalidité lui avait été reconnu du 1er juillet 2010 au 30 avril 2012. Au-delà, la rente avait été supprimée suite à l’amélioration de son état de santé, et a fortiori, de sa capacité de travail, estimée à 80% dans une activité adaptée dès le 1er février 2012.</w:t>
      </w:r>
    </w:p>
    <w:p>
      <w:r>
        <w:rPr>
          <w:b/>
        </w:rPr>
        <w:t>E. 5</w:t>
      </w:r>
    </w:p>
    <w:p>
      <w:r>
        <w:t>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Le point de départ temporel pour l’examen d’une modification du degré d’invalidité lors d’une nouvelle révision de la rente est en effet la dernière décision qui repose sur un examen matériel du droit à la rente avec une constatation des faits pertinents, une appréciation des preuves et une comparaison des revenus conformes au droit (ATF 133 V 108 consid. 5.4; ATF 130 V 343 consid. 3.5.2).</w:t>
      </w:r>
    </w:p>
    <w:p>
      <w:r>
        <w:t>A/2839/2016 - 22/30 -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c.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A/2839/2016 - 23/30 -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c/bb. Un rapport au sens de l'art. 59 al. 2bis LAI (en corrélation avec l'art. 49 al. 1 RAI) a pour fonction d'opérer la synthèse des renseignements médicaux versés au</w:t>
      </w:r>
    </w:p>
    <w:p>
      <w:r>
        <w:t>A/2839/2016 - 24/30 -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w:t>
      </w:r>
    </w:p>
    <w:p>
      <w:r>
        <w:t>A/2839/2016 - 25/30 -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cependant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il convient d’examiner si la situation du recourant a subi un changement important propre à influencer son degré d’invalidité, et donc son droit à des prestations, entre la décision querellée du 28 juin 2016 et la dernière décision du 16 octobre 2013.</w:t>
      </w:r>
    </w:p>
    <w:p>
      <w:r>
        <w:rPr>
          <w:b/>
        </w:rPr>
        <w:t>E. 11</w:t>
      </w:r>
    </w:p>
    <w:p>
      <w:r>
        <w:t>Dans le cadre de la décision du 16 octobre 2013, l’intimé a considéré, sur la base de l’avis du SMR du 18 juin 2013, lequel s’alignait sur les conclusions de l’expertise du Dr G______ du 22 février 2013, que la capacité de travail du recourant était nulle, de façon définitive, dans l’activité habituelle de garçon d’office. En revanche, compte tenu de l’absence de lésions aux hanches, au bassin, au rachis ou aux membres supérieurs, la capacité de travail était de 80% dans une activité adaptée (pour tenir compte des difficultés de déplacements) dès le 1er février 2012.</w:t>
      </w:r>
    </w:p>
    <w:p>
      <w:r>
        <w:rPr>
          <w:b/>
        </w:rPr>
        <w:t>E. 12</w:t>
      </w:r>
    </w:p>
    <w:p>
      <w:r>
        <w:t>a. Suite à la nouvelle demande de prestations, l’intimé a retenu, dans sa décision litigieuse du 28 juin 2016, que la capacité de travail du recourant était nulle dans l’activité habituelle, mais de 80% dans une activité strictement adaptée à ses limitations fonctionnelles. L’intimé s’est basé sur les conclusions de l’expertise du Dr K______ du 10 mars 2016 ainsi que sur l’avis subséquent du SMR. b. Dans son expertise, le Dr K______ s’est fondé sur le dossier et l’examen clinique. Il a résumé les documents médicaux, exposé l’anamnèse, relaté les plaintes, posé des diagnostics et fait état de ses constatations. Cela étant, ses explications sont, à réitérées reprises, incohérentes, voire contradictoires. En effet, au début de son rapport, l’expert note que le recourant se plaignait de lombalgies au-delà de trente à quarante-cinq minutes lorsqu’il marchait ou restait assis et qu’il s’était levé à la quarante-cinquième minute de l’entretien, soit à la moitié de l’examen d’une durée d’une heure trente. Ainsi, les plaintes du recourant concordent avec le constat médical. Toutefois, dans l’appréciation du cas, l’expert se contredit et affirme que le recourant alléguait l’apparition de symptômes après trente à quarante-cinq minutes, ce qui n’avait pas été le cas le jour de l’examen. À cet égard, il y a lieu de rappeler qu’en 2011-2012, l’assuré, assis, pouvait supporter ses douleurs sans aucun problème, alors même que, suite à son accident en 2009, il avait un peu mal au dos, souffrant d’une hernie discale, non grave, depuis vingt-cinq ans (cf. procès-verbal de l’intimé du 25 novembre 2009; rapport</w:t>
      </w:r>
    </w:p>
    <w:p>
      <w:r>
        <w:t>A/2839/2016 - 26/30 - d’entretien de la SUVA du 15 juillet 2011 ; rapport du Dr F______ du 20 février 2012). Ensuite, l’expert observe que, sans cannes, le recourant se déplaçait avec une boiterie inconstante, une marche plus ou moins robotique, saccadée. Les genoux étaient fléchis à environ 10° pour avancer à petits pas, plutôt sur l’avant-pied gauche. Avec les cannes, la marche était plus fluide et plus rapide. Ce constat est comparable à celui du Dr G______ dans son rapport du 22 février 2013. Cependant, dans l’appréciation du cas, le Dr K______ relève, cette fois-ci, que la marche avec les deux cannes anglaises s’effectuait à petits pas, en maintenant les genoux légèrement fléchis, en se dandinant, phénomène inconstant lorsque le recourant se déplaçait sans cannes. Il y a donc ambiguïté quant aux déplacements du recourant avec ou sans les cannes. Enfin, l’expert considère que, depuis l’expertise du Dr G______ en février 2013, l’état de santé du recourant est demeuré stable. Or, si dans son rapport, le Dr G______ avait indiqué que le recourant, assis durant l’expertise, n’avait manifesté aucun inconfort lombaire, que la musculature du rachis et les ceintures scapulaires étaient bien développées symétriquement, que le rachis était indolore à la palpation et à la percussion, depuis novembre 2014, le recourant est confronté à une exacerbation importante et constante de ses lombalgies, essentiellement la journée. Il éprouve de la difficulté à rester longtemps dans la même position (cf. rapports de la Dre H______ des 5 octobre 2015 et 13 novembre 2015). Le Dr E______ a fait état d’une décompensation de lombalgies, probablement liée à une position assise prolongée. À l’examen clinique, le recourant était relativement algique. Il y avait une raideur manifeste de sa colonne lombaire (cf. courrier dudit praticien du 10 novembre 2014). L’IRM du 1er septembre 2015 a mis en évidence un rétrécissement modéré du canal rachidien lombaire sur une combinaison de critères osseux et dégénératifs avec une arthrose débutante des articulations interapophysaires postérieures et aggravé par les discopathies protrusives en L4/L5 et L5/S1, lesquelles présentaient un caractère plus focal à base d’implantation large au niveau postéro-médian et postéro-latéral des deux côtés, venant au contact de la portion récessale des racines L5 bilatéralement, sans signe de compression radiculaire, ainsi qu’un rétrécissement des trous de conjugaison L4/L5 des deux côtés et L5/S1 gauche. Lors de la consultation du 7 septembre 2015, le Dr J______ a observé d’intenses lombalgies avec blocage lombaire dès les premiers degrés de mobilisation lombaire. Les apophyses épineuses L3 à S1 et la musculature para- lombaire étaient douloureuses à la palpation, sans nette contracture (cf. rapport du Dr J______ du 20 novembre 2015). Le Dr K______, lui-même, a observé des douleurs lors des mouvements dorsolombaires. Contrairement à l’appréciation de l’expert, force est de constater que l’état de santé du recourant relatif à son problème de dos n’est pas resté stable depuis la dernière expertise du Dr G______ en février 2013.</w:t>
      </w:r>
    </w:p>
    <w:p>
      <w:r>
        <w:t>A/2839/2016 - 27/30 - Qui plus est, dans son courrier du 8 septembre 2015, le Dr J______ n’a pas exclu la possibilité d’une composante radiculaire sur le canal lombaire étroit relatif, en raison de l’anamnèse des fourmillements et d’engourdissement des membres inférieurs. Le médecin a, de ce fait, préconisé un ENMG des membres inférieurs pour déceler les éventuelles répercussions du canal lombaire étroit sur des racines nerveuses lombo-sacrées. Ainsi, alors que la symptomatologie lombaire n’a pas été clarifiée, le Dr K______ conclut prématurément qu’aucun élément n’expliquait la symptomatologie subjective d’engourdissement et de fourmillements des cuisses et que la preuve d’un canal lombaire étroit symptomatique n’existait pas, hormis si de nouveaux éléments neurologiques déficitaires clairs se manifestaient à un examen neurologique spécialisé avec un ENMG. L’expert parvient à cette conclusion, alors même qu’il note plus tôt qu’une partie de la symptomatologie faisait évoquer un probable canal lombaire étroit symptomatique qui n’avait pas été vérifié par un ENMG. Force est ainsi de constater que l’expert n’a pas procédé à une étude fouillée du cas avant de se prononcer. c. Dans son avis du 9 févier 2016, le SMR a proposé de mettre en œuvre une expertise rhumatologique, dans la mesure où les médecins traitants avaient un avis différent quant à la capacité de travail du recourant dans une activité adaptée suite aux lombalgies chroniques constantes. Cela étant, au vu des développements qui précèdent, la chambre de céans ne peut pas se fier au rapport du Dr K______ du 10 mars 2016. Ainsi, à défaut d’informations fiables et suffisantes sur les répercussions des lombalgies sur la capacité de travail, la chambre de céans n’est pas en mesure de procéder à une comparaison avec la situation prévalant au moment de la dernière décision du 16 octobre 2013. En conséquence, elle ne peut se prononcer sur le degré d’invalidité du recourant.</w:t>
      </w:r>
    </w:p>
    <w:p>
      <w:r>
        <w:rPr>
          <w:b/>
        </w:rPr>
        <w:t>E. 13</w:t>
      </w:r>
    </w:p>
    <w:p>
      <w:r>
        <w:t>Il convient dès lors de renvoyer la cause à l’intimé pour instruction complémentaire sous la forme d’une expertise bidisciplinaire indépendante, laquelle comprendra au vu des considérations précitées un volet orthopédique et un volet neurologique. Ce renvoi se justifie d’autant plus que l’intimé n'a pas instruit correctement la situation médicale du recourant. Il appartiendra aux experts de tenir compte de l’ensemble des atteintes à la santé du recourant, de décrire les limitations fonctionnelles, de se prononcer sur sa capacité de travail, de même que sur une éventuelle diminution de rendement, de décrire quelle a été l’évolution de son état de santé depuis le</w:t>
      </w:r>
    </w:p>
    <w:p>
      <w:r>
        <w:rPr>
          <w:b/>
        </w:rPr>
        <w:t>E. 16</w:t>
      </w:r>
    </w:p>
    <w:p>
      <w:r>
        <w:t>Il s’ensuit que le recours est partiellement admis, la décision litigieuse annulée et le dossier renvoyé à l’intimé afin qu’il procède conformément aux considérants.</w:t>
      </w:r>
    </w:p>
    <w:p>
      <w:r>
        <w:rPr>
          <w:b/>
        </w:rPr>
        <w:t>E. 17</w:t>
      </w:r>
    </w:p>
    <w:p>
      <w:r>
        <w:t>Au vu de l’issue du recours, l’audition des médecins traitants et celle du recourant, offerte par celui-ci, est, par appréciation anticipée des preuves (ATF 122 II 464 consid. 4a; 122 III 219 consid. 3c), inutile, de sorte que la chambre de céans n’y donnera pas suite.</w:t>
      </w:r>
    </w:p>
    <w:p>
      <w:r>
        <w:rPr>
          <w:b/>
        </w:rPr>
        <w:t>E. 18</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200.-.</w:t>
      </w:r>
    </w:p>
    <w:p>
      <w:r>
        <w:rPr>
          <w:b/>
        </w:rPr>
        <w:t>E. 19</w:t>
      </w:r>
    </w:p>
    <w:p>
      <w:r>
        <w:t>Le recourant, représenté par un conseil, obtenant partiellement gain de cause, une indemnité lui sera accordée à titre de participation à ses frais et dépens, arrêtée en l’espèce à CHF 1'000.- (art. 61 let. g LPGA ; art. 89H al. 3 LPA ; art. 6 du règlement sur les frais, émoluments et indemnités en matière administrative, du 30 juillet 1986 [RFPA – RS/GE E 5 10.03]).</w:t>
      </w:r>
    </w:p>
    <w:p>
      <w:r>
        <w:t>A/2839/2016 - 30/30 -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