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ATAS/312/2009 vom 12. März 2009</w:t>
      </w:r>
    </w:p>
    <w:p>
      <w:r>
        <w:t>GE Cour de justice, 2009-03-12, FR</w:t>
      </w:r>
    </w:p>
    <w:p>
      <w:r>
        <w:rPr>
          <w:b/>
        </w:rPr>
        <w:t xml:space="preserve">Quelle: </w:t>
      </w:r>
      <w:r>
        <w:t>https://mcp.opencaselaw.ch/entscheid/ge_gerichte_ATAS_312_2009</w:t>
      </w:r>
    </w:p>
    <w:p>
      <w:r>
        <w:t>FR: GE_GERICHTE ATAS/312/2009 du 12 mars 2009</w:t>
      </w:r>
    </w:p>
    <w:p>
      <w:r>
        <w:t>IT: GE_GERICHTE ATAS/312/2009 del 12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Déposé dans les forme et délai légaux (art. 56 à 60 LPGA), il y a lieu de déclarer le recours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A/2119/2008 - 7/13 - En l'espèce, la décision litigieuse, du 9 mai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sans tenir compte des modifications intervenues dans le cadre de la 5ème révision de la LAI entrée en vigueur le 1er janvier 2008.</w:t>
      </w:r>
    </w:p>
    <w:p>
      <w:r>
        <w:rPr>
          <w:b/>
        </w:rPr>
        <w:t>E. 4</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Est litigieux le droit de la recourante à une rente d’invalidité (partielle selon ses conclusions) et à des mesures de réadaptation professionnelle.</w:t>
      </w:r>
    </w:p>
    <w:p>
      <w:r>
        <w:rPr>
          <w:b/>
        </w:rPr>
        <w:t>E. 6</w:t>
      </w:r>
    </w:p>
    <w:p>
      <w:r>
        <w:t>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A/2119/2008 - 8/13 -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En l’espèce, il est constant que les problèmes affectant la santé de la recourante sont d’ordre psychiatrique (trouble somatoforme douloureux persistant ou fibromyalgie, troubles de la personnalité, troubles de l’humeur (épisode dépressif, dysthymie). L’intéressée a certes fait état, lors de l’audience de comparution personnelle des parties du 4 décembre 2008, de la découverte d’une hernie discale cervicale et d’un dessèchement des disques cervicaux. Cela étant, dans la mesure où ces affections ont été diagnostiquées postérieurement à la décision attaquée, il n’y a pas lieu d’en tenir compte ( cf. ATF 121 V 366 consid. 1b et les arrêts cités). D’autre part, il n’est pas établi qu’elles entraîneraient une incapacité de travail ou</w:t>
      </w:r>
    </w:p>
    <w:p>
      <w:r>
        <w:t>A/2119/2008 - 9/13 - des limitations fonctionnelles particulières. Il en va de même de la sacro-illite et de la synovite avec kyste interdistal, ces dernières pathologies n’ayant justifié qu’un bref arrêt de travail ensuite de l’intervention chirurgicale.</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 132 V 65), le Tribunal fédéral (ci-après le TF)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w:t>
      </w:r>
    </w:p>
    <w:p>
      <w:r>
        <w:t>A/2119/2008 - 10/13 - et fiable pouvant en expliquer l'origine. Cela rend dans les deux cas la limitation de la capacité de travail difficilement mesurable, car l'on ne peut pas déduire l'existence d'une incapacité de travail du simple diagnostic posé, dès lors que celui- 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 les états dépressifs ne constituent en principe pas une comorbidité psychiatrique grave et durable à un trouble</w:t>
      </w:r>
    </w:p>
    <w:p>
      <w:r>
        <w:t>A/2119/2008 - 11/13 - somatoforme douloureux, dans la mesure où ils ne sont en règle générale qu'une manifestation réactive ne devant pas faire l'objet d'un diagnostic séparé (ATF 130 V 356 consid. 3.3.1 in fine et les références citées).</w:t>
      </w:r>
    </w:p>
    <w:p>
      <w:r>
        <w:rPr>
          <w:b/>
        </w:rPr>
        <w:t>E. 9</w:t>
      </w:r>
    </w:p>
    <w:p>
      <w:r>
        <w:t>La recourante a été examinée dans le cadre d’une expertise psychiatrique par le Dr R_________ qui a conclu à un trouble somatoforme douloureux persistant associé à une dysthymie et à une personnalité présentant des traits passifs dépendants et à une incapacité de travail de 50 %. Ce médecin précise que l’intéressée ne présente aucun élément psychotique, ni signe de trouble dépressif. La dysthymie diagnostiquée, et documentée par les observations cliniques, est en effet un trouble de l’humeur affectif et non un trouble dépressif proprement dit, dont il n’atteint pas le degré de gravité (cf. Classification internationale des troubles mentaux et des troubles du comportement [CIM-10], publiée par l’OMS ; cet ouvrage de référence spécifie en effet qu’ « aucun ou presque aucun des épisodes isolés de dépression survenant au cours d’une période de deux années de dépression constante ou constamment récurrente ne sont d’une sévérité ou d’une durée suffisante pour répondre aux critères d’un trouble dépressif récurrent léger). Par conséquent, on ne saurait évoquer cette pathologie en tant que comorbidité psychiatrique grave au sens de la jurisprudence citée ci-dessus. Quant aux traits de personnalité dépendante, la position de l’expert n’est pas très claire. Il mentionne une personnalité à traits passifs dépendants, mais codifie son diagnostic sous la référence du trouble de personnalité dépendante (F60.7), diagnostic repris par la psychiatre traitante. Peu importe, en fin de compte, qu’il s’agisse d’un véritable trouble de la personnalité ou de simples traits, car on ne voit pas - et ce n’est au demeurant relaté ni par l’expert, ni par la psychiatre traitante - en quoi une telle pathologie présenterait les critères de gravité restreignant la capacité de travail. Il n’est pas non plus relaté que cette pathologie serait nouvellement survenue, en parallèle au développement du trouble somatoforme douloureux, ni qu’elle influencerait sur la capacité de travail. L’expert ne fait, à ce propos, état que d’un émoussement des facultés de résilience et d’un épuisement progressif et ajoute (p. 4 du rapport) qu’en ce qui concerne le trouble de personnalité, les échelles de Morey sont dans les limites de la norme et ne montrent pas de signe clinique particulier. On peut faire, à peu de choses près, le même constat en ce qui a trait au diagnostic de trouble de la personnalité anxieuse avancé par la psychiatre traitante. De toute manière, même si l’expert mentionne des traits ou comportements qui vont dans le sens de ce diagnostic, il ne le retient pas et la Dresse T________ n’explique pas en quoi les critères en seraient remplis. L’avis de cette praticienne est au demeurant fort succinct, ne repose pas sur une analyse détaillé de la problématique posée par sa patiente et ne se prononce pas sur la capacité de travail de cette dernière, de sorte qu’il ne saurait de toute évidence pas emporter la conviction ni remettre en question les conclusions diagnostiques posées par l’expert R_________. On peut déduire de ce qui précède que l’intéressée ne présente pas de comorbidité psychiatrique importante par sa gravité, son acuité et sa durée.</w:t>
      </w:r>
    </w:p>
    <w:p>
      <w:r>
        <w:t>A/2119/2008 - 12/13 - Pour le surplus, l'expert psychiatre ne s'est pas prononcé, il est vrai, sur tous les critères déterminants en matière d'évaluation du caractère invalidant de troubles somatoformes douloureux. Cela étant, l'expertise rédigée par le Dr R_________ contient suffisamment d'éléments pertinents, additionnés à ceux ressortant des autres documents médicaux au dossier, pour se convaincre, dans le cas particulier, de l'absence d'influence d'une quelconque affection d'ordre psychique sur la capacité de travail de la recourante dans une activité professionnelle. En substance, l’expert n'a pas relevé que la recourante aurait une structure de la personnalité présentant des traits prémorbides. Mis à part une sacro-illite minime et sans répercussion directe sur la capacité de travail, aucune affection corporelle chronique n'est démontrée. La recourante maintient des liens avec sa famille qui la soutient moralement et financièrement, ainsi qu’avec certains amis et voisins. Si elle ne connaît que peu de monde dans sa commune de domicile, il n’est pas démontré (ni même allégué) que cela soit en raison de sa maladie. Enfin, elle tient son ménage et continue à sortir de chez elle (déplacements en voiture, promenades et courses). Le contexte psychosocial ne peut donc pas être qualifié de mauvais et il n’y a pas de perte d’intégration sociale majeure au sens de la jurisprudence. L’état psychique n’est de loin pas cristallisé, ayant évolué récemment aux dires de la psychiatre traitante sous l’influence d’un changement de médication. Ceci démontre également l’absence d’échec de l’ensemble des traitements. Aucun des critères fixés par la jurisprudence n’étant présentement réalisé, de surcroît chez une assurée jeune (moins de 40 ans), il peut être exigé de cette dernière qu’elle fournisse un effort de volonté pour reprendre son activité professionnelle, ce d’autant plus que l’expert psychiatre relate des capacités à s’habituer à un rythme de travail, à s’intégrer dans un réseau social et des facultés adaptatives encore bien présentes. Il suit de ce qui précède que le caractère invalidant de la fibromyalgie, respectivement du trouble somatoforme douloureux doit être nié selon les critères applicables dans le domaine de l’assurance-invalidité. Partant, aucune incapacité de travail ne saurait être reconnue et la décision de l’intimé, en ce qu’elle rejette la demande de prestations faute d’affection invalidante, ne peut qu’être confirmée. Cela étant, il convient de rendre attentive la recourante au fait qu’il lui est loisible de déposer une nouvelle demande de prestations, pour autant que les affections relatées dans le cadre de la présente procédure de recours (hernie cervicale notamment), voire d’autres, constituent une aggravation de son état de santé par rapport au moment déterminant de la décision dont est présentement recours, ce qu’il lui appartiendra de démontrer.</w:t>
      </w:r>
    </w:p>
    <w:p>
      <w:r>
        <w:rPr>
          <w:b/>
        </w:rPr>
        <w:t>E. 10</w:t>
      </w:r>
    </w:p>
    <w:p>
      <w:r>
        <w:t>La recourante, qui succombe, plaide au bénéfice de l’assistance juridique. Dans ces circonstances, il est renoncé à la perception d’un émolument pour les frais de justice (art. 6 let. a du règlement sur l’assistance juridique du 13 mars 1996 ; art. 69 al. 1bis LAI).</w:t>
      </w:r>
    </w:p>
    <w:p>
      <w:r>
        <w:t>A/2119/2008 - 13/13 -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