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ATAS/311/2009 vom 12. März 2009</w:t>
      </w:r>
    </w:p>
    <w:p>
      <w:r>
        <w:t>GE Cour de justice, 2009-03-12, FR</w:t>
      </w:r>
    </w:p>
    <w:p>
      <w:r>
        <w:rPr>
          <w:b/>
        </w:rPr>
        <w:t xml:space="preserve">Quelle: </w:t>
      </w:r>
      <w:r>
        <w:t>https://mcp.opencaselaw.ch/entscheid/ge_gerichte_ATAS_311_2009</w:t>
      </w:r>
    </w:p>
    <w:p>
      <w:r>
        <w:t>FR: GE_GERICHTE ATAS/311/2009 du 12 mars 2009</w:t>
      </w:r>
    </w:p>
    <w:p>
      <w:r>
        <w:t>IT: GE_GERICHTE ATAS/311/2009 del 12 marzo 2009</w:t>
      </w:r>
    </w:p>
    <w:p>
      <w:pPr>
        <w:pStyle w:val="Heading2"/>
      </w:pPr>
      <w:r>
        <w:t>Erwägungen</w:t>
      </w:r>
    </w:p>
    <w:p>
      <w:r>
        <w:rPr>
          <w:b/>
        </w:rPr>
        <w:t>E. 1</w:t>
      </w:r>
    </w:p>
    <w:p>
      <w:r>
        <w:t>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recours interjeté respectant les formes et délais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faits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21 février 2008, est postérieure à l’entrée en vigueur de la LPGA ainsi qu’à l’entrée en vigueur, le 1er janvier 2004, des modification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 voir également ATF 130 V 329). Le 1er juillet 2006 est en outre entrée en vigueur la loi fédérale du 16 décembre 2005 modifiant la LAI et a apporté des modification qui concernent notamment la conduite de la procédure devant le Tribunal cantonal des assurances (art. 52, 58 et 61 lettre a LPGA). Conformément au chiffre 2 lettre c des dispositions transitoires relatives à ces modifications, le présent cas est soumis au nouveau droit, dès lors que le recours a été formé après le 1er juillet 2006. Enfin, le 1er janvier 2008, la 5ème révision de la LAI est entrée en vigueur. Les modifications apportées à la LAI ne doivent en principe pas être prises en considération dans le présent litige, l’état de faits pertinent s’étant produit avant l’entrée en vigueur. Toutefois, en vertu de l’art. 85 des dispositions transitoires de la 5ème révision, celle-ci s’applique également au droit aux prestations des personnes déjà invalides lors de son entrée en vigueur. L’invalidité sera alors réputée survenue au moment de</w:t>
      </w:r>
    </w:p>
    <w:p>
      <w:r>
        <w:t>A/4544/2008 - 7/10 - l’entrée en vigueur. Par conséquent, le droit aux prestations du recourant doit être également examiné à la lumière des nouvelles dispositions, dès lors que la décision litigieuse a été rendue après leur entrée en vigueur.</w:t>
      </w:r>
    </w:p>
    <w:p>
      <w:r>
        <w:rPr>
          <w:b/>
        </w:rPr>
        <w:t>E. 4</w:t>
      </w:r>
    </w:p>
    <w:p>
      <w:r>
        <w:t>En l’espèce, seule demeure litigieuse la question du droit à la rente puisque le recourant ne conclut plus à l’octroi de mesures professionnelles. Se pose dès lors la question du calcul du degré d’invalidité, étant précisé que l’atteinte à la santé en elle-même ainsi que ses répercussions sur la capacité de travail de l’assuré ne sont pas contestées. Il s’agit dès lors d’examiner s’il se justifie de tenir compte d’une baisse de rendement de 30%, respectivement s’il se justifie d’appliquer une réduction supplémentaire de 25% au revenu d’invalide ainsi que le demande le recourant.</w:t>
      </w:r>
    </w:p>
    <w:p>
      <w:r>
        <w:rPr>
          <w:b/>
        </w:rPr>
        <w:t>E. 5</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Depuis le 1er janvier 2004 (4ème révision AI), l’assuré a droit à un quart de rente s’il est invalide à 40% au moins, à une demi-rente s’il est invalide à 50% au moins, à trois quart de rente s’il est invalide à 60% au moins, à une rente entière s’il est invalide à 70% au moins.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 activité l’assuré est incapable de travailler. En outre, les données médicales constituent un élément utile pour déterminer quels travaux on peut encore, raisonnablement, exiger de l’assuré (ATF 125 V 261 consid. 4, 115 V 134 consid. 2, 114 V 314 consid. 3c, 105 V 158 consid. 1). Elles l’emportent sur les constatations qui peuvent être faites à l’occasion d’un stage d’observation professionnelle lesquelles sont susceptibles d’être influencées par des éléments subjectifs liés au comportement de l’assuré pendant le stage (ATFA non publié du</w:t>
      </w:r>
    </w:p>
    <w:p>
      <w:r>
        <w:rPr>
          <w:b/>
        </w:rPr>
        <w:t>E. 6</w:t>
      </w:r>
    </w:p>
    <w:p>
      <w:r>
        <w:t>a) Selon le principe de la libre appréciation des preuves, pleinement valable en procédure judiciaire de recours dans le domaine des assurances sociales (cf. art. 61 lettre c LPGA), le juge n’est pas lié par des règles formelles, mais doit examiner de manière objective tous les moyens de preuve, quels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w:t>
      </w:r>
    </w:p>
    <w:p>
      <w:r>
        <w:t>A/4544/2008 - 8/10 - égard, l’élément déterminant n’est ni l’origine, ni la désignation du moyen de preuve comme un rapport ou expertise, mais à son contenu. Il importe que les points litigieux importants aient fait l’objet d’une étude fouillée, que le rapport se fonde sur des examens complets, qu’il prenne également en considération les plaintes exprimées, qu’il a été établi en pleine connaissance du dossier (anamnèse), que la description des interférences médicales soit claire et, enfin, que les conclusions de l’expert soient bien motivées (ATF 125 V 351 consid. 3a). b) En ce qui concerne les rapports établis par les médecins-traitant, le juge peut et doit tenir compte du fait que, selon l’expérience, le médecin-traitant est généralement enclin, en cas de doute, à prendre parti pour son patient en raison de la relation de confiance qui l’unit à ce dernier (ATF 125 V 351 consid. 3b/bb et cc).</w:t>
      </w:r>
    </w:p>
    <w:p>
      <w:r>
        <w:rPr>
          <w:b/>
        </w:rPr>
        <w:t>E. 7</w:t>
      </w:r>
    </w:p>
    <w:p>
      <w:r>
        <w:t>En l’espèce, il s’agit en premier lieu de rappeler qu’il est admis par le recourant que dans une activité adaptée, tenant compte de ses limitations fonctionnelles, sa capacité de travail demeure entière. Le recourant conteste en revanche aussi bien les conclusions du stage d’orientation professionnelle que celles du SMR quant au taux de rendement escompté. Dans l’activité envisagée, à savoir ouvrier d’usine (sériel simple à l’établi, conditionnement léger), il ressort des conclusions du rapport OSER que le rendement ne peut dépasser 80%, après une période de ré-entraînement. Il résulte des stages effectués en entreprise, considérant uniquement les activités qui seraient adaptées au recourant, que le rendement oscille entre 50 à 100% en fonction de l’intérêt du recourant. Le médecin du SMR, dans le cadre d’une activité adaptée manuelle, fixe la baisse de rendement entre 10 à 15%, sans autre précision. Le médecin-traitant rappelle quant à lui qu’en respectant les limitations fonctionnelles, le recourant serait apte à travailler à 100%, sans diminution de rendement pour autant que l’activité soit strictement adaptée, c’est-à-dire qu’elle évite le port de charge, la position debout prolongée, les mouvements répétés du bras et du tronc et l’accroupissement. Il préconise au reste une activité de bureau. Si ces différents intervenants s’accordent sur la capacité résiduelle de travail, leur appréciation diffère sur le taux de rendement. Ceci étant, la mise en œuvre d’une expertise en vue de déterminer le taux de rendement s’avère en l’espèce inutile. Dès lors que le recourant ne pourra mettre à profit sa capacité résiduelle que dans une activité manuelle vu son niveau d’études et son manque de formation professionnel, compte tenu des importantes limitations fonctionnelles il appert raisonnable de retenir à son endroit une diminution de rendement de 20% étant par ailleurs relevé que les stages en entreprise ont mis en évidence un rendement moyen de 80% sur un plein temps, ceci pour les activités pertinentes. La baisse de rendement de 15% retenue par l’OCAI doit ainsi être infirmée.</w:t>
      </w:r>
    </w:p>
    <w:p>
      <w:r>
        <w:t>A/4544/2008 - 9/10 -</w:t>
      </w:r>
    </w:p>
    <w:p>
      <w:r>
        <w:rPr>
          <w:b/>
        </w:rPr>
        <w:t>E. 8</w:t>
      </w:r>
    </w:p>
    <w:p>
      <w:r>
        <w:t>Le recourant soutient par ailleurs que le taux d’abattement de 15% retenu par l’OCAI est insuffisant et qu’une déduction de 20 à 25% à opérer sur le salaire statistique permettrait de tenir compte de l’ensemble de ses limitations fonctionnelles.</w:t>
      </w:r>
    </w:p>
    <w:p>
      <w:r>
        <w:rPr>
          <w:b/>
        </w:rPr>
        <w:t>E. 9</w:t>
      </w:r>
    </w:p>
    <w:p>
      <w:r>
        <w:t>Il y a en effet lieu de procéder à un abattement sur le revenu d’invalide conformément à la jurisprudence. En effet, la mesure dans laquelle les salaires ressortant des statistiques doivent être réduits, dépend de l’ensemble des circonstances personnelles et professionnelles du cas particulier (limitation liée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ainsi que le Tribunal de céans l’a déjà jugé dans d’autres affaires (cf. notamment ATAS/69/2008), la diminution de rendement de 15% admise par l‘intimé ne tient pas compte des différents éléments qui peuvent influencer le revenu de l’activité lucrative puisqu’elle a trait uniquement au ralentissement du rythme de travail. En revanche, d’une part le recourant ne peut exercer qu’une activité légère et devant respecter d’importantes limitations fonctionnelles, d’autre part, comme le souligne le recourant, un certain nombre d’éléments personnels entrent en ligne de compte, tels l’âge, étant précisé qu’au moment de la date de la décision il est âgé de 56 ans, son niveau d’étude, son manque de formation professionnel, sa capacité d’apprentissage réduite ainsi que ses difficultés dans la pratique de la langue française. Aussi, ne pourrait-il obtenir qu’un salaire moins élevé que le salaire statistique (ATFA non publiés du 10 mai 2002, I 481/01, consid. 4c et du 2 décembre 2002, I 500/02, consid. 1.4.1). Par conséquent, il se justifie de tenir compte d’un abattement de 20%.</w:t>
      </w:r>
    </w:p>
    <w:p>
      <w:r>
        <w:rPr>
          <w:b/>
        </w:rPr>
        <w:t>E. 10</w:t>
      </w:r>
    </w:p>
    <w:p>
      <w:r>
        <w:t>Au vu de ce qui précède, le recours sera admis dans le sens où il sera retenu une baisse de rendement de 20% sur une capacité résiduelle de travail entière dans une activité adaptée dont il y aura lieu de procéder à un abattement d’au mois 20% pour tenir compte des éléments cités ci-dessus. Il résulte de la rectification du calcul d’invalidité un degré d’invalidité de 51% donnant lieu, à compter du 1er septembre 2006, à l’octroi d’une demi-rente. La décision sur opposition du 21 février 2008 sera ainsi annulée.</w:t>
      </w:r>
    </w:p>
    <w:p>
      <w:r>
        <w:rPr>
          <w:b/>
        </w:rPr>
        <w:t>E. 11</w:t>
      </w:r>
    </w:p>
    <w:p>
      <w:r>
        <w:t>Le recourant obtenant gain de cause, une indemnité de 700 fr. lui sera accordée à titre de participation à ses frais et dépens (art. 61 let. g LPGA). L’émolument, fixé en l’espèce à 500 fr., est mis à la charge de l’OCAI, qui succombe (art. 69 al. 1 bis LAI).</w:t>
      </w:r>
    </w:p>
    <w:p>
      <w:r>
        <w:t>A/4544/2008 - 10/10 -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