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ATAS/310/2019 vom 10. April 2019</w:t>
      </w:r>
    </w:p>
    <w:p>
      <w:r>
        <w:t>GE Cour de justice, 2019-04-10, FR</w:t>
      </w:r>
    </w:p>
    <w:p>
      <w:r>
        <w:rPr>
          <w:b/>
        </w:rPr>
        <w:t xml:space="preserve">Quelle: </w:t>
      </w:r>
      <w:r>
        <w:t>https://mcp.opencaselaw.ch/entscheid/ge_gerichte_ATAS_310_2019</w:t>
      </w:r>
    </w:p>
    <w:p>
      <w:r>
        <w:t>FR: GE_GERICHTE ATAS/310/2019 du 10 avril 2019</w:t>
      </w:r>
    </w:p>
    <w:p>
      <w:r>
        <w:t>IT: GE_GERICHTE ATAS/310/2019 del 10 aprile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60 al. 1 LPGA ; art. 89B de la loi sur la procédure administrative du 12 septembre 1985 – LPA ; RS/GE E 5 10).</w:t>
      </w:r>
    </w:p>
    <w:p>
      <w:r>
        <w:rPr>
          <w:b/>
        </w:rPr>
        <w:t>E. 3</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au vu de la décision attaquée et du recours, sont litigieuses les questions de savoir si l’intimée était fondée à mettre fin à la prise en charge du traitement médical et à refuser d’accorder à l’assuré une rente d’invalidité.</w:t>
      </w:r>
    </w:p>
    <w:p>
      <w:r>
        <w:rPr>
          <w:b/>
        </w:rPr>
        <w:t>E. 4</w:t>
      </w:r>
    </w:p>
    <w:p>
      <w:r>
        <w:t>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et adéquate avec l'événement assuré (ATF 125 V 456 consid. 5a et les références; ATF 119 V 335 consid. 1).</w:t>
      </w:r>
    </w:p>
    <w:p>
      <w:r>
        <w:t>A/2392/2018 - 10/18 - c.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ATF 119 V 335 consid. 1; ATF 118 V 286 consid. 1b et les références). d.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 Selon la jurisprudence, l'existence d'un lien de causalité adéquate entre un accident insignifiant ou de peu de gravité (par ex. une chute banale) et des troubles psychiques peut, en règle générale, être d'emblée niée, tandis qu'en principe, elle doit être admise en cas d'accident grave. Il convient, aux fins de procéder à une classification des accidents de nature à entraîner des troubles psychiques, non pas de s'attacher à la manière dont l'assuré a ressenti et assumé le choc traumatique, mais bien plutôt de se fonder, d'un point de vue objectif, sur l'événement accidentel lui-même (ATF 115 V 139 consid. 6).</w:t>
      </w:r>
    </w:p>
    <w:p>
      <w:r>
        <w:rPr>
          <w:b/>
        </w:rPr>
        <w:t>E. 5</w:t>
      </w:r>
    </w:p>
    <w:p>
      <w:r>
        <w:t>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Aux termes de l'art. 10 al. 1 let. a et b LAA,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w:t>
      </w:r>
    </w:p>
    <w:p>
      <w:r>
        <w:t>A/2392/2018 - 11/18 - La limite temporelle de la prise en charge, par l’assureur-accident, du traitement médical ressort de l’art. 19 LAA relatif aux rentes d’invalidité, qui, pour autant que les conditions soient remplies, prennent le relais des prestations temporaires. À teneur de cette disposition,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(art. 19 al. 1 LAA). La naissance du droit à la rente supprime ainsi le traitement médical au sens de l’art. 10, le moment déterminant étant celui auquel l'état de santé peut être considéré comme relativement stabilisé (ATF 134 V 109 consid. 4.1 ; arrêt du Tribunal fédéral 8C_1023/2008 du 1er décembre 2009 consid. 5.1 ; arrêts du Tribunal fédéral des assurances U.305/03 du 31 août 2004 consid. 4.1 et U.391/00 du 9 mai 2001 consid. 2a), étant précisé que le droit au traitement médical existe aussi longtemps qu'on peut en attendre une amélioration sensible de l'état de santé de l'assuré (ATF 116 V 44 consid. 2c). Le droit au traitement médical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(134 V 109 consid. 4.1 ; ATF 133 V 57 consid. 6.6.2 ; arrêt du Tribunal fédéral 8C_1023/2008 du 1er décembre 2009). Savoir ce que signifie une sensible amélioration de l'état de santé de l'assuré (« namhaften Besserung des Gesundheitszustandes des Versicherten » ; « un sensibile miglioramento della salute dell'assicurato ») au sens de l’art. 19 al. 1 LAA n'est pas précisé par le texte légal. Le concept de l'assurance-accident sociale étant orienté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 arrêt du Tribunal fédéral des assurances U 244/04 du 20 mai 2005 consid. 3.1). La preuve que la mesure envisagée est de nature à améliorer l’état de santé doit être établie avec une vraisemblance suffisante ; celle-ci est donnée dès que l’on peut admettre que le traitement envisagé ne représente pas seulement une possibilité lointaine d’amélioration. En revanche, il n’y a pas d’amélioration sensible de l’état de santé quand la mesure thérapeutique (par exemple une cure annuelle) ne fait que soulager momentanément des douleurs occasionnées par un état stationnaire (arrêt du Tribunal fédéral des assurances U 244/04 du 20 mai 2005 consid. 3.1 ; arrêt du Tribunal fédéral 8C_179/2014 du 16 mars 2015 consid. 4).</w:t>
      </w:r>
    </w:p>
    <w:p>
      <w:r>
        <w:t>A/2392/2018 - 12/18 -</w:t>
      </w:r>
    </w:p>
    <w:p>
      <w:r>
        <w:rPr>
          <w:b/>
        </w:rPr>
        <w:t>E. 6</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7</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p. 224 et la référence). c. S’agissant du revenu d'invalide, il doit aussi être évalué avant tout en fonction de la situation professionnelle concrète. En l'absence d'un revenu effectivement réalisé, la jurisprudence considère qu’il peut être évalué sur la base de statistiques salariales (ATF 126 V 75, consid. 3b), singulièrement à la lumière de celles figurant dans l'enquête suisse sur la structure des salaires (ESS), publiée par l'office fédéral de la statistique (ATF 124 V 321, consid. 3b/aa), ou des données salariales résultant des descriptions de postes de travail (DPT). Dans la première hypothèse, il convient de se fonder, en règle générale, sur les salaires mensuels indiqués dans la table ESS TA1, à la ligne «total secteur privé» (ATF 124 V 321 consid. 3b/aa).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t>A/2392/2018 - 13/18 -</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A/2392/2018 - 14/18 -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la décision attaquée, fondée sur les deux rapports de la CRR et celui du Dr M________ met un terme à la prise en charge du traitement médical et des indemnités journalières avec effet au 31 mars 2018. Elle retient par ailleurs qu’en dépit de ses séquelles accidentelles, l’assuré est pleinement capable d’occuper dans différents secteurs de l’industrie une profession sédentaire, exercée en position assise. Comme le revenu exigible de sa part dans une telle activité est supérieur à celui qu’il aurait perçu sans accident, l’assuré ne subit pas de perte de gain et n’a donc pas droit à une rente d’invalidité.</w:t>
      </w:r>
    </w:p>
    <w:p>
      <w:r>
        <w:rPr>
          <w:b/>
        </w:rPr>
        <w:t>E. 11</w:t>
      </w:r>
    </w:p>
    <w:p>
      <w:r>
        <w:t>En premier lieu, il convient d’examiner si l’intimée était fondée à mettre fin à la prise en charge du traitement médical. Comme cela a été précédemment exposé (cf. consid. 5), le droit au traitement médical cesse lorsqu’il n'y a plus lieu d'en attendre une sensible amélioration de l'état de santé, ce par quoi il faut comprendre la capacité de travail. L’amélioration doit être « sensible », c’est-à-dire d’une certaine importance. En l’occurrence, il ressort du second rapport de la CRR, daté du 23 janvier 2018, que l’intéressé est médicalement capable d’exercer une activité professionnelle adaptée à ses limitations fonctionnelles. Les médecins de la CRR ont jugé le cas médicalement stabilisé, dans la mesure où aucun traitement ne leur paraissait susceptible d’améliorer durablement cette situation. Ils ont précisé : « dans l’attente de l’évaluation du dossier par la SUVA et pour ne pas abruptement interrompre le traitement ambulatoire de physiothérapie, une série de neuf séances a été prolongée. Mais il est clair, au vu de l’évolution et des observations, qu’il n’y a pas grand- chose à attendre de cela. Nous proposons donc d’arrêter par la suite cette prise en charge ». Se ralliant à cette appréciation, le Dr M________, dans son rapport final du 22 février 2018, a également considéré que l’état de santé était stabilisé. Il est vrai que le Dr H________ a préconisé la prise en charge par l’assurance-accidents d’un soutien psychologique et d’une médication modifiant le seuil de la douleur. Ce médecin n’a toutefois pas rendu vraisemblable, ni même allégué, que les traitements qu’il recommandait étaient susceptibles de jouer un rôle, a fortiori sensible, sur la capacité de travail du recourant. S’agissant plus particulièrement du soutien psychologique, c’est le lieu de relever qu’un lien de causalité adéquate entre l’accident et des troubles d'ordre psychique doit être d'emblée nié en présence d’un accident de peu de gravité, ce qui est le cas en l’espèce, puisque le recourant a subi une simple chute de hauteur d’homme, n’ayant eu comme conséquence immédiate qu’une contusion et une lésion méniscale (arrêt du Tribunal fédéral des assurances U 330/00 du 14 mai 2002 consid. 3). Quant au physiothérapeute de l’assuré, il s’est borné à indiquer que mettre fin au traitement</w:t>
      </w:r>
    </w:p>
    <w:p>
      <w:r>
        <w:t>A/2392/2018 - 15/18 - pourrait augmenter les douleurs de son patient. Or, selon la jurisprudence, il n’appartient pas à l’assureur-accidents de prendre en charge un traitement qui ne fait que soulager momentanément une symptomatologie occasionnée par un état de santé stabilisé (arrêt du Tribunal fédéral 8C_179/2014 du 16 mars 2015 consid. 4). En définitive, dès lors que l’état de santé du recourant est stabilisé et qu’il n’est pas établi au degré de vraisemblance requis que la poursuite du traitement médical permettrait d’améliorer sensiblement sa capacité de travail, c’est à juste titre que l’intimée a cessé de le prendre en charge avec effet au 31 mars 2018.</w:t>
      </w:r>
    </w:p>
    <w:p>
      <w:r>
        <w:rPr>
          <w:b/>
        </w:rPr>
        <w:t>E. 12</w:t>
      </w:r>
    </w:p>
    <w:p>
      <w:r>
        <w:t>En second lieu, il sied de se prononcer sur la capacité de travail du recourant et, pour ce faire, d’examiner la valeur probante des rapports versés au dossier. a. La chambre de céans constate que les rapports de la CRR et du médecin d’arrondissement de la SUVA se rejoignent, en ce sens qu’ils parviennent à la conclusion unanime que le recourant pourrait exercer une activité professionnelle sédentaire, réalisée en position assise et ne nécessitant pas l’usage de la jambe droite. Ces rapports ont été établis en pleine connaissance du dossier, relatent les plaintes de l’intéressé, reposent sur des examens cliniques complets et leurs conclusions sont motivées, de sorte qu’ils satisfont aux réquisits jurisprudentiels en matière de valeur probante (ATF 125 V 351 consid. 3b/bb). De ces rapports, il ressort que le recourant est capable de se déplacer, à tout le moins avec des béquilles. Son périmètre de marche est compris entre 20 et 30 minutes, selon la CRR. La conservation de la musculature du mollet et de la cuisse est bonne, sans amyotrophie observable. Par ailleurs, selon la CRR et le médecin d’arrondissement, il existe une nette discordance entre ses plaintes et les résultats des examens cliniques. Dans ce contexte, on ne voit pas que le recourant, qui est encore jeune, soit empêché d’exercer une activité sédentaire légère, épargnant sa jambe droite. Au regard du large éventail d'activités simples et répétitives que recouvrent les secteurs de la production et des services, il faut plutôt admettre qu'un certain nombre d'entre elles sont légères et adaptées à ses problèmes de genou (arrêt du Tribunal fédéral 8C_226/2018 du 30 janvier 2019 consid. 4.2 ; arrêt du Tribunal fédéral des assurances U 259/04 du 7 juillet 2015 consid. 6.1). Certes, les médecins de la CRR ont jugé « défavorable » le pronostic d’une réinsertion professionnelle. Ils ont néanmoins précisé que cela résultait essentiellement de facteurs extra-médicaux, tels qu’une focalisation excessive sur la douleur, une sous-estimation par l’intéressé de ses capacités et un contexte socio-professionnel précaire, caractérisé par une absence de formation et des problèmes financiers (litige avec l’ex-employeur et poursuites). Or, de jurisprudence constante, l'assurance-accidents n’a pas à répondre d’une diminution de la capacité de gain due essentiellement à d'autres facteurs qu'une atteinte à la santé, tels qu’un manque de formation, par exemple (arrêt du Tribunal fédéral des assurances U 388/01 du 2 décembre 2002 consid. 2.2).</w:t>
      </w:r>
    </w:p>
    <w:p>
      <w:r>
        <w:t>A/2392/2018 - 16/18 - b. On ne trouve dans le dossier aucune pièce médicale qui contredirait l'exigibilité d'une activité adaptée, telle que décrite par les médecins de la CRR et par le médecin d’arrondissement. Les rapports succincts établis par les médecins du recourant ne discutent pas l’exigibilité d’une telle activité, dont rien ne permet au demeurant de penser qu’elle serait contrindiquée. C’est le lieu de relever que dans un premier rapport (août 2017), le Dr H________ a répondu « a priori non » à la question de savoir s’il fallait s’attendre à la persistance d’un problème entravant la reprise du travail, avant de requérir, dans un rapport subséquent (juin 2018), la prise en charge d’un soutien psychologique et d’une médication antalgique, mais sans discuter la capacité de travail du recourant, en particulier dans une activité adaptée. Pour sa part, le Dr G________ a inscrit « arrêts de travail non documentés » dans la partie du rapport intermédiaire de la SUVA consacrée à la reprise du travail. Quant au Dr B________, il s’est limité à indiquer que l’on pouvait s’attendre à ce qu’une raideur du genou persiste à l’avenir, sans autre précision. Il est vrai que ce médecin a transmis à la SUVA plusieurs certificats d’arrêt de travail, mais ceux-ci se rapportent de toute évidence à l’activité antérieure de chauffeur-livreur et non à d’autres professions, potentiellement mieux adaptées aux limitations fonctionnelles du recourant. Enfin, il convient de relever que dans leur rapport (avril 2018), les médecins de la consultation ambulatoire de la douleur des HUG ont précisément enjoint l’intéressé à envisager une réadaptation professionnelle. c. Au vu de ce qui précède, la chambre de céans retient avec l’intimée, au degré de la vraisemblance prépondérante, que le recourant est pleinement capable d’exercer une profession adaptée à ses limitations fonctionnelles.</w:t>
      </w:r>
    </w:p>
    <w:p>
      <w:r>
        <w:rPr>
          <w:b/>
        </w:rPr>
        <w:t>E. 13</w:t>
      </w:r>
    </w:p>
    <w:p>
      <w:r>
        <w:t>Compte tenu de l’activité de substitution exigible du recourant dans un emploi adapté, le salaire de référence est celui auquel peuvent prétendre les hommes effectuant des activités simples et répétitives (niveau de qualification 1) dans le secteur privé, comme l’a retenu à bon droit l’intimée, soit CHF 64'080.- (CHF 5'340.- x 12 ; ESS 2014, TA1_skill_level, ligne « total »). Étant donné que les salaires bruts standardisés tiennent compte d’un horaire de 40 heures, soit d’une durée hebdomadaire de travail inférieure à la moyenne usuelle dans les entreprises (41.7 heures par semaine ; office fédéral de la statistique – statistique de la durée normale du travail dans les entreprises, DNT), ce montant doit être porté à CHF 66'803.- (CHF 64'080.- x 41.7 / 40), puis à CHF 67’675.- une fois indexé à 2017 selon l’évolution des salaires en termes nominaux, étant précisé que les statistiques pour l’année 2018 n’ont pas encore été publiées (de 2014 à 2017, l’indice est passé de 2’220 à 2’249 ; soit CHF 66'803.- x 2'249 / 2'220). Le revenu d’invalide s’élève donc à CHF 67'675.-. Même si l’on voulait retrancher de ce montant un abattement de 25%, soit le taux maximal admis par la jurisprudence - malgré le fait que les circonstances ne justifient de toute évidence pas l’application d’un taux aussi élevé -, le revenu d’invalide s’élèverait encore à CHF 50'756.-.</w:t>
      </w:r>
    </w:p>
    <w:p>
      <w:r>
        <w:t>A/2392/2018 - 17/18 - Le revenu d’invalide que le recourant pourrait réaliser malgré ses troubles du genou est donc en toute hypothèse supérieur au salaire sans invalidité qu’il aurait perçu sans accident, soit un montant incontesté de CHF 46'620.-. Il n’en résulte aucune perte de gain. Partant, c’est à juste titre que l’intimée lui a refusé l’octroi d’une rente de l’assurance-accidents.</w:t>
      </w:r>
    </w:p>
    <w:p>
      <w:r>
        <w:rPr>
          <w:b/>
        </w:rPr>
        <w:t>E. 14</w:t>
      </w:r>
    </w:p>
    <w:p>
      <w:r>
        <w:t>Le recours est rejeté.</w:t>
      </w:r>
    </w:p>
    <w:p>
      <w:r>
        <w:rPr>
          <w:b/>
        </w:rPr>
        <w:t>E. 15</w:t>
      </w:r>
    </w:p>
    <w:p>
      <w:r>
        <w:t>La procédure est gratuite (art. 89H al. 4 LPA). ******</w:t>
      </w:r>
    </w:p>
    <w:p>
      <w:r>
        <w:t>A/2392/2018 - 18/18 -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