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ATAS/310/2016 vom 21. April 2016</w:t>
      </w:r>
    </w:p>
    <w:p>
      <w:r>
        <w:t>GE Cour de justice, 2016-04-21, FR</w:t>
      </w:r>
    </w:p>
    <w:p>
      <w:r>
        <w:rPr>
          <w:b/>
        </w:rPr>
        <w:t xml:space="preserve">Quelle: </w:t>
      </w:r>
      <w:r>
        <w:t>https://mcp.opencaselaw.ch/entscheid/ge_gerichte_ATAS_310_2016</w:t>
      </w:r>
    </w:p>
    <w:p>
      <w:r>
        <w:t>FR: GE_GERICHTE ATAS/310/2016 du 21 avril 2016</w:t>
      </w:r>
    </w:p>
    <w:p>
      <w:r>
        <w:t>IT: GE_GERICHTE ATAS/310/2016 del 21 aprile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l’état de santé de la recourante s’est aggravé ou amélioré depuis la première décision de l’intimé du 4 novembre 2003, avec influence sur le droit de la rente.</w:t>
      </w:r>
    </w:p>
    <w:p>
      <w:r>
        <w:rPr>
          <w:b/>
        </w:rPr>
        <w:t>E. 4</w:t>
      </w:r>
    </w:p>
    <w:p>
      <w:r>
        <w:t>L’art. 17 al. 1er LPGA dispose que si le taux d’invalidité du bénéficiaire de la rente subit une modification notable, la rente est, d’office ou sur demande, révisée pour l’avenir, à savoir augmentée ou réduite en conséquence, ou encore supprimée.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w:t>
      </w:r>
    </w:p>
    <w:p>
      <w:r>
        <w:t>A/1784/2015 - 12/17 - degré d’invalidité lors d’une nouvelle révision de la rente (ATF 133 V 108 consid. 5.4; ATF 130 V 343 consid. 3.5.2).</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A/1784/2015 - 13/17 -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8</w:t>
      </w:r>
    </w:p>
    <w:p>
      <w:r>
        <w:t>Sans remettre en cause le principe de la libre appréciation des preuves, le Tribunal fédéral des assurances a posé des lignes directrices en ce qui concerne la manière d'apprécier certains types d'expertises ou de rapports médicaux. 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t>A/1784/2015 - 14/17 -</w:t>
      </w:r>
    </w:p>
    <w:p>
      <w:r>
        <w:rPr>
          <w:b/>
        </w:rPr>
        <w:t>E. 9</w:t>
      </w:r>
    </w:p>
    <w:p>
      <w:r>
        <w:t>a. En l’occurrence, la recourante a fait l’objet d’un examen clinique bidisciplinaire, rhumatologique et psychiatrique au SMR en août 2014, lequel retient comme seul diagnostic avec répercussion sur la capacité de travail une hernie discale L4-L5, opérée par discectomie le 16 août 1999, et des discopathies C5-C6 et C6-C7 opérées par discectomie et spondylodèse le 19 novembre 2009. Les diagnostics de rhizarthrose bilatérale, la chondropathie, le trouble panique et le trouble dépressif récurrent, épisode actuel léger, sont sans influence sur la capacité de travail. Sur le plan ostéo-articulaire, la capacité de travail est entière dès le 1er juin 2010 dans une activité adaptée, comme celle de secrétaire, soit six mois après l’intervention chirurgicale cervicale. Sur le plan psychique, il n’y a aucune incapacité de travail. b. Selon l’expertise judiciaire psychiatrique, la recourante souffre d’un trouble dépressif récurrent, épisode dépressif sévère au moment de l’expertise, d’un trouble panique et d’un trouble de la personnalité dépendante avec traits de personnalité anxieuse et évitante relativement marqués. Le trouble dépressif récurrent évolue de façon chronique et est fluctuant. Le plus souvent, il présente un niveau de gravité justifiant le diagnostic d’épisode dépressif moyen. Il y a des périodes d’exacerbation durant lesquelles le niveau de gravité correspond à un épisode dépressif sévère et, plus rarement, des périodes de rémission durant lesquelles la symptomatologie correspond à un épisode dépressif léger. La capacité de travail est nulle au moment de l’expertise et dans la durée. Il n’est pas réaliste que la recourante travaille dans le monde économique traditionnel, dès lors qu’il faut s’attendre à de fréquentes et longues absences et, durant les périodes de capacité de travail, à des fluctuations marquées du rendement et à un niveau élevé d’erreurs. La capacité de travail est également réduite dans le ménage sur le plan psychiatrique, indépendamment des limitations éventuelles au plan rhumatologique. c. Il ne fait pas de doute qu’une pleine valeur probante doit être attribuée à l’expertise du Dr O______, laquelle a été effectuée en connaissance du dossier médical entier, prend en considération les plaintes de la recourante, repose sur un examen clinique très consciencieux et approfondi et aboutit à des conclusions étayées. Sur le plan psychiatrique, il peut être constaté que les diagnostics de cet expert sont semblables à ceux émis par le médecin psychiatre du SMR, même si le Dr O______ ajoute encore le trouble de personnalité dépendante. Cependant, l'appréciation de la sévérité est divergente, ainsi que la répercussion du trouble dépressif récurrent sur la capacité de travail. De façon convaincante, l'expert psychiatre expose que l’incapacité de travail de la recourante est totale, ce qui ne semble pas être contesté par l'intimé. Cependant, le médecin du SMR considère qu’il y a une aggravation de l'état de santé et que l’évolution de la capacité de travail depuis janvier 2011 ne peut être déterminée. Les conclusions du SMR sont surprenantes, dès lors qu’il résulte aussi bien des expertises judiciaires que de l’historique de l’évolution des atteintes à la santé que</w:t>
      </w:r>
    </w:p>
    <w:p>
      <w:r>
        <w:t>A/1784/2015 - 15/17 - l’état s’est péjoré depuis octobre 2009 (cf. à cet égard le certificat du 8 mars 2010 du Dr B______). Dans l'expertise judiciaire psychiatrique, il est expliqué que le trouble panique a commencé après l’opération en 2009. En septembre 2010, la recourante a consulté le Dr D______ et est suivie depuis lors sur le plan psychiatrique et psychothérapeutique. Quant au trouble dépressif, il s’est développé depuis 1999, avec un premier épisode dépressif sévère après l’intervention chirurgicale en cette année et la rupture de la relation conjugale quelques mois plus tard. Le Dr D______ certifie le 14 mars 2011 un épisode dépressif majeur récurrent, d’intensité sévère, tout en indiquant qu’il s’agit du deuxième épisode dépressif d’intensité sévère de l’assurée, après un épisode dépressif moyen en 1999 et un épisode dépressif d’intensité sévère en 2000, à la suite de la séparation de son époux. Dans son courrier du 16 février 2015, ce médecin précise que la recourante a présenté une quinzaine d’épisodes dépressifs en tout, dont cinq épisodes dépressifs sévères durant les périodes suivantes: en 2000, de mars à juillet 2011 (dans un contexte d’isolement affectif et social, mais sans facteur déclenchant), de septembre 2011 à mars 2012 (sans facteur déclenchant), d’août à décembre 2013 (suite au fait que sa fille avait commencé à vivre en ménage avec son ami) et de février à mai 2014 (sans facteur déclenchant). Les épisodes dépressifs légers faisaient généralement suite aux autres épisodes dépressifs ou les ont précédés. Cela étant, le dossier médical et de l’expertise du Dr O______ permettent de constater que le trouble dépressif récurrent, présent depuis 1999, a engendré plusieurs épisodes dépressifs sévères engendrant une pleine incapacité de travail. Une aggravation s'est produite dans le cours de l’année 2009 avec l’apparition d’un trouble panique après l’opération aux cervicales subie. Cette aggravation est postérieure à la première décision de l’intimé du 4 novembre 2003. Enfin, toutes les aggravations sont antérieures et à la demande de révision de la recourante et à la décision querellée, de sorte qu'elles auraient dû être prises en compte. Sur le plan psychiatrique, aucune amélioration ne peut enfin être admise. Une expertise complémentaire ne paraît ainsi pas utile, raison pour laquelle la requête dans ce sens de l’intimé sera rejetée. Au vu de ce qui précède, non seulement la suppression de la demi-rente dont la recourante bénéficiait, n’est pas fondée, mais au contraire il convient de lui reconnaître une incapacité de travail totale. Cela ouvre le droit à une rente entière. Enfin, dès lors que la capacité de la recourante est déjà nulle au niveau psychiatrique, celle au niveau somatique peut rester ouverte.</w:t>
      </w:r>
    </w:p>
    <w:p>
      <w:r>
        <w:rPr>
          <w:b/>
        </w:rPr>
        <w:t>E. 10</w:t>
      </w:r>
    </w:p>
    <w:p>
      <w:r>
        <w:t>En vertu de l’art. 88 bis al. 1 let.a du règlement du 17 janvier 1961 sur l’assurance- invalidité du 17 janvier 1961 (RAI - RS 831.201), l’augmentation de la rente prend effet au plus tôt dès le mois où l’assuré a présenté sa demande de révision. En l’occurrence, la recourante a présenté une demande de révision par courrier du 30 janvier 2014, reçu le 3 février suivant par l’OAI, de sorte que le droit à la rente naît en février 2014. Il ne fait à cet égard pas de doute que l’incapacité de travail</w:t>
      </w:r>
    </w:p>
    <w:p>
      <w:r>
        <w:t>A/1784/2015 - 16/17 - totale avait à cette date déjà duré une année, au vu des troubles dépressifs sévères et moyens à répétition rapportés par le Dr D______.</w:t>
      </w:r>
    </w:p>
    <w:p>
      <w:r>
        <w:rPr>
          <w:b/>
        </w:rPr>
        <w:t>E. 11</w:t>
      </w:r>
    </w:p>
    <w:p>
      <w:r>
        <w:t>Par conséquent, le recours sera admis, la décision querellée annulée et la recourante mise au bénéfice d’une rente d’invalidité entière dès février 2014.</w:t>
      </w:r>
    </w:p>
    <w:p>
      <w:r>
        <w:rPr>
          <w:b/>
        </w:rPr>
        <w:t>E. 12</w:t>
      </w:r>
    </w:p>
    <w:p>
      <w:r>
        <w:t>Dans la mesure où l’intimé succombe, il sera condamné à un émolument de justice de CHF 1'000.-.</w:t>
      </w:r>
    </w:p>
    <w:p>
      <w:r>
        <w:rPr>
          <w:b/>
        </w:rPr>
        <w:t>E. 13</w:t>
      </w:r>
    </w:p>
    <w:p>
      <w:r>
        <w:t>L’intimé sera en outre condamné à verser à la recourante une indemnité de CHF 3'000.- à titre de dépens.</w:t>
      </w:r>
    </w:p>
    <w:p>
      <w:r>
        <w:t>***</w:t>
      </w:r>
    </w:p>
    <w:p>
      <w:r>
        <w:t>A/1784/2015 - 17/17 -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