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ATAS/310/2014 vom 13. März 2014</w:t>
      </w:r>
    </w:p>
    <w:p>
      <w:r>
        <w:t>GE Cour de justice, 2014-03-13, FR</w:t>
      </w:r>
    </w:p>
    <w:p>
      <w:r>
        <w:rPr>
          <w:b/>
        </w:rPr>
        <w:t xml:space="preserve">Quelle: </w:t>
      </w:r>
      <w:r>
        <w:t>https://mcp.opencaselaw.ch/entscheid/ge_gerichte_ATAS_310_2014</w:t>
      </w:r>
    </w:p>
    <w:p>
      <w:r>
        <w:t>FR: GE_GERICHTE ATAS/310/2014 du 13 mars 2014</w:t>
      </w:r>
    </w:p>
    <w:p>
      <w:r>
        <w:t>IT: GE_GERICHTE ATAS/310/2014 del 13 marzo 2014</w:t>
      </w:r>
    </w:p>
    <w:p>
      <w:pPr>
        <w:pStyle w:val="Heading2"/>
      </w:pPr>
      <w:r>
        <w:t>Erwägungen</w:t>
      </w:r>
    </w:p>
    <w:p>
      <w:r>
        <w:rPr>
          <w:b/>
        </w:rPr>
        <w:t>E. 17</w:t>
      </w:r>
    </w:p>
    <w:p>
      <w:r>
        <w:t>Par écriture du 14 décembre 2012, l’assurée a interjeté recours auprès de la Cour de céans en concluant à l’annulation de la décision du 16 novembre 2012 avec suite de frais et dépens. La recourante allègue qu’elle a certes retrouvé un emploi, mais à titre uniquement occupationnel, qu’elle travaille 4 à 7 heures par semaine tout au plus, auprès d’une patronne très compréhensive, que son statut est particulier et qu’elle ne pourrait exercer une activité dans le circuit économique normal. Elle conteste le statut d’active à 50% qui lui a été reconnu, alléguant que, sans atteinte à sa santé, elle aurait exercé une activité lucrative à 80% au moins puisque son fils est désormais âgé de 19 ans et qu’elle est divorcée.</w:t>
      </w:r>
    </w:p>
    <w:p>
      <w:r>
        <w:rPr>
          <w:b/>
        </w:rPr>
        <w:t>E. 18</w:t>
      </w:r>
    </w:p>
    <w:p>
      <w:r>
        <w:t>Invité à se déterminer, l’intimé, dans sa réponse du 29 janvier 2013, a conclu au rejet du recours. L’intimé estime qu’il n’y a pas lieu de modifier le statut accordé à l’assurée puisqu’elle touche une pension alimentaire d’un montant relativement important. Il en tire la conclusion qu’il n’est pas démontré au degré de la vraisemblance prépondérante que l’assurée, si elle avait été en bonne santé, aurait augmenté son taux d’occupation. Pour le reste, l’intimé a souligné s’être basé, pour calculer le revenu d’invalide, sur un revenu mensuel de 450 fr., inférieur à celui ressortant de l’extrait de ses comptes individuels AVS (CI), lesquels font état d’un revenu de 6'374 fr. en 2011. Sur le plan ménager, une amélioration est apparue par rapport à la dernière enquête réalisée en 2003, qui explique la modification des empêchements retenus.</w:t>
      </w:r>
    </w:p>
    <w:p>
      <w:r>
        <w:rPr>
          <w:b/>
        </w:rPr>
        <w:t>E. 19</w:t>
      </w:r>
    </w:p>
    <w:p>
      <w:r>
        <w:t>Le 5 mars 2013, la recourante a répliqué en rappelant avoir répondu à l’enquêtrice, qui lui demandait quel serait son taux d’activité sans atteinte à sa santé, qu’elle aurait travaillé à 80 ou 100%. Elle soutient que le fait qu’elle perçoive 3'000 fr. de pension alimentaire n’est pas un argument pertinent pour déterminer son statut. Elle fait valoir à cet égard que, lors de l’enquête diligentée au moment de l’octroi initial de rente, elle avait déjà indiqué qu’elle aurait souhaité travailler pour compléter le salaire de son mari et par intérêt personnel. La recourante ajoute que son état de santé est resté stable et relève l’inquiétude manifestée par son médecin, qui indiquait que chaque reprise d’activité s’était traduite par des problèmes de santé.</w:t>
      </w:r>
    </w:p>
    <w:p>
      <w:r>
        <w:t>A/3802/2012 - 6/15 - La recourante produit ses certificats de salaire 2011 et 2012, attestant d’un salaire brut de 6'374 fr. pour 7 mois de travail en 2011 et d’un salaire brut de 6'225 fr. pour 2012. Elle allègue que, même dans un cadre professionnel très protégé, elle n’arrive pas à maintenir le rythme. Pour le reste, elle relève devoir se faire aider, pour le ménage, par son fils, sa mère, son frère et une amie et estime que cela dépasse très largement l’aide que l’on peut attendre des proches, d’autant qu’un changement est intervenu au cours du 2ème semestre 2012 - c'est-à-dire avant que ne soit rendue la décision litigieuse -, puisque, depuis août 2012, son fils a commencé un nouvel apprentissage à Lausanne, où il se rend deux fois par semaine, qu’il doit par ailleurs régulièrement travailler durant les week-ends, que sa mère ne peut plus non plus l’aider comme auparavant car elle rend quotidiennement visite à son mari - en établissement médico-social depuis août 2012 -, et que son frère est également moins disponible en raison d’un changement de travail et ne peut plus lui rendre service que de manière ponctuelle. Quant à son amie, elle vient une fois par mois mais ne peut faire davantage. La recourante en tire la conclusion qu’il n’y a donc pas lieu de tenir compte de l’aide de ses proches. Qui plus est, elle s’étonne que son degré d’invalidité dans la sphère ménagère soit passé de 81% à 27% alors que son état de santé n’a pas fondamentalement changé. En définitive elle conclut qu’au mieux, c’est un statut mixte à 80% qui devrait lui être reconnu, ce qui conduit à un degré d’invalidité global suffisant pour maintenir son droit à une rente entière et ce, même en admettant un degré d’invalidité de 27% dans la sphère ménagère.</w:t>
      </w:r>
    </w:p>
    <w:p>
      <w:r>
        <w:rPr>
          <w:b/>
        </w:rPr>
        <w:t>E. 20</w:t>
      </w:r>
    </w:p>
    <w:p>
      <w:r>
        <w:t>Le 9 avril 2013, l’intimé a persisté dans ses conclusions. L’intimé maintient que c’est un statut mixte à raison de 50% qui est le plus vraisemblable et qu’il pourra être réévalué en cas de diminution des revenus de la recourante. L’intimé fait remarquer par ailleurs qu’une révision périodique est indispensable, même en l’absence de modification de l’état de santé, et que dans ce cadre, il est normal de prendre en compte le fait que la recourante ait repris une activité lucrative. Il relève que les revenus effectivement réalisés en 2012 sont supérieurs à ceux qu’il a pris en compte pour son calcul. Quant aux empêchements dans le ménage, il allègue qu’ils semblent parfaitement compatibles avec les limitations fonctionnelles décrites par le médecin-traitant : aide nécessaire pour les tâches requérant un effort physique ou le port de charges.</w:t>
      </w:r>
    </w:p>
    <w:p>
      <w:r>
        <w:rPr>
          <w:b/>
        </w:rPr>
        <w:t>E. 21</w:t>
      </w:r>
    </w:p>
    <w:p>
      <w:r>
        <w:t>Une audience d’enquêtes s’est tenue en date du 13 juin 2013, au cours de laquelle a été entendu le Dr A__________ , médecin traitant de l’assurée depuis 1985.</w:t>
      </w:r>
    </w:p>
    <w:p>
      <w:r>
        <w:t>A/3802/2012 - 7/15 - Le médecin a expliqué qu’après discussion avec sa patiente, il a été convenu qu’elle tente de reprendre une activité à raison d’environ 6 h./sem., surtout pour lui fournir une occupation et lui permettre de sortir de chez elle. A l’époque déjà, le médecin s’inquiétait, sachant qu’en cas de surcharge importante, sa patiente avait tendance à tomber plus facilement malade. C’est d’ailleurs ce qui s’est passé, de sorte que la recourante a dû réduire le nombre de ses heures afin de réduire la fatigabilité et d’éviter les recrudescences d’infections virales et bactériennes. Le médecin a souligné que la reprise d’une activité n’a pas été motivée par l’amélioration de l’état de santé de sa patiente mais plutôt par la nécessité de lui trouver une occupation à un moment où elle allait moins bien sur un plan psychique. Sur un plan thérapeutique, il était préférable de l’encourager à utiliser ses capacités, la difficulté étant de trouver le juste équilibre entre une occupation bénéfique et un taux d’occupation induisant une surcharge néfaste à son état. Le médecin a expliqué que l’état de sa patiente s’était en effet dégradé sur le plan psychique au cours de l’année 2009 : elle avait alors pris conscience du fait qu’elle avait été privée d’enfance, que la maladie était omniprésente dans sa vie ; s’y sont ajoutées les prémisses de la séparation, qui ont contribué à la fortifier dans l’idée que sa vie ne valait pas la peine d’être vécue. Il y a eu une tentative de suicide en septembre 2009, à la suite de laquelle l’assurée n’a pas été hospitalisée mais suivie de très près par son médecin traitant et adressée à un psychiatre (le Dr C__________), qui l’a mise sous traitement antidépresseur qu’elle prend toujours. A cette époque, l’état dépressif pouvait être qualifié de profond et majeur ce qui n’est désormais plus le cas depuis juin 2010, date à laquelle l’état psychique de l’assurée s’est amélioré. C’est alors que l’éventualité d’une activité légère a été envisagée, à but thérapeutique. Le médecin a souligné que l’évaluation contenue dans son courrier de mai 2011 se limitait à l’état psychique de sa patiente et aucunement à son état physique. Désormais, la recourante ne travaille qu’une demi-journée par semaine, soit 3 heures. Le témoin s’est dit dans l’incapacité de dire où se situait exactement le seuil exigible, entre 3 ou 6 heures par semaine. Sur le plan des activités quotidiennes, le médecin a confirmé que sa patiente ne dispose plus d’aucune aide familiale extérieure au foyer et que son fils est désormais moins présent. Heureusement, sa mère n’habite pas loin – bien qu’elle soit également moins disponible, et, de toute façon, relativement âgée -, tout comme son frère et sa belle-sœur.</w:t>
      </w:r>
    </w:p>
    <w:p>
      <w:r>
        <w:rPr>
          <w:b/>
        </w:rPr>
        <w:t>E. 22</w:t>
      </w:r>
    </w:p>
    <w:p>
      <w:r>
        <w:t>Entendue à son tour, Madame D_________, spécialiste FMH en pédiatrie et employeur de l'assurée depuis juin 2011, a expliqué avoir engagé l’assurée en juin 2011, d’abord en remplacement de son assistante en congé maternité. En 2011, la recourante a travaillé en moyenne 8,8 h./sem., taux qui a diminué en 2012, d’une part parce qu’elle n’a gardé la recourante qu’en appui mais également et surtout parce que le médecin s’est rendu compte que l’assurée ne pouvait faire plus</w:t>
      </w:r>
    </w:p>
    <w:p>
      <w:r>
        <w:t>A/3802/2012 - 8/15 - d’heures : durant 2012, elle a été très souvent malade (infections urinaires et douleurs abdominales violentes). En définitive, son taux d’activité en 2012 s’est réduit à environ 4 h./sem. et, depuis 2013, à 3 h./sem., ce qui lui paraît bien correspondre à ses capacités.</w:t>
      </w:r>
    </w:p>
    <w:p>
      <w:r>
        <w:rPr>
          <w:b/>
        </w:rPr>
        <w:t>E. 23</w:t>
      </w:r>
    </w:p>
    <w:p>
      <w:r>
        <w:t>Par écriture du 28 juin 2013, la recourante a persisté dans ses conclusions. Elle reproche à l’enquêtrice ménagère d’avoir retenu un statut d’active à 50% sur la base de convictions personnelles et sans connaître son dossier puisqu’elle a indiqué dans son rapport que son tératome ovarien avait été diagnostiqué en 2002 alors même qu’il remonte à 1977, élément qu’elle estime important car c’est justement parce qu’elle n’a jamais été en bonne santé depuis l’âge de 10 ans qu’il lui est difficile de dire avec certitude quel aurait été son taux d’activité, 80 ou 100%. Elle affirme en revanche qu’il ne se serait en tout cas pas limité à 50%. A l’appui de sa position, la recourante a produit la convention de divorce ainsi que le procès-verbal de comparution personnelle des futurs ex-époux devant le Tribunal de première instance. Elle relève que la pension alimentaire de 3'000 fr. qui lui est versée l’est pour elle- même et pour son fils et conteste que sa situation financière soit « confortable » puisque la séparation l’a considérablement péjorée : lors de la vie commune, son mari - qui gagnait 101'674 fr. par an - assumait entièrement l’entretien du ménage, ce qui n’est évidemment plus le cas.</w:t>
      </w:r>
    </w:p>
    <w:p>
      <w:r>
        <w:rPr>
          <w:b/>
        </w:rPr>
        <w:t>E. 24</w:t>
      </w:r>
    </w:p>
    <w:p>
      <w:r>
        <w:t>Le 23 juillet 2013, la recourante a encore produit copie du jugement de divorce prononcé le 27 juin 2013. Il en ressort que son ex-époux s’est engagé à lui verser la somme de 3'000 fr. jusqu’au départ de leur fils du domicile maternel, somme qui sera ensuite ramenée à 2'800 fr.</w:t>
      </w:r>
    </w:p>
    <w:p>
      <w:r>
        <w:rPr>
          <w:b/>
        </w:rPr>
        <w:t>E. 25</w:t>
      </w:r>
    </w:p>
    <w:p>
      <w:r>
        <w:t>Dans ses écritures après enquêtes du 9 septembre 2013, l’intimé a persisté dans ses conclusions. Il allègue que la pension alimentaire de 3'000, voire 2'800 fr., correspond plus ou moins au salaire versé pour une activité à mi-temps et que le juge du divorce a admis que ce montant serait versé à vie, précisément en raison de l’état de santé précaire de la recourante. Il souligne également que le loyer payé par la recourante est modeste et estime dès lors que le versement d’une demi-rente AI suffit financièrement pour considérer qu’en bonne santé, l’assurée n’aurait pas travaillé à plus de 50%.</w:t>
      </w:r>
    </w:p>
    <w:p>
      <w:r>
        <w:t>A/3802/2012 - 9/15 -</w:t>
      </w:r>
    </w:p>
    <w:p>
      <w:r>
        <w:t>EN DROIT</w:t>
      </w:r>
    </w:p>
    <w:p>
      <w:r>
        <w:t>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étant rappelé que le juge n'a pas à prendre en considération les modifications du droit ou de l'état de fait postérieures à la date déterminante de la décision litigieuse (ATF 129 V 1 consid. 1.2). 3. Le recours interjeté respectant les forme et délai prévus par la loi (art. 56 à 60 LPGA), il y a lieu de le déclarer recevable. 4. Est litigieuse en l'espèce la réduction, par décision du 16 novembre 2012, de la rente entière allouée jusqu’alors à la recourante, à une demi-rente. Singulièrement, il convient d'examiner si les conditions d'une révision du droit à la rente sont présentement remplies. 5.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6. Selon l'art. 17 LPGA, si le taux d'invalidité du bénéficiaire de la rente subit une modification notable, la rente est, d'office ou sur demande, révisée pour l'avenir, à savoir augmentée ou réduite en conséquence, ou encore supprimée. Cela vaut</w:t>
      </w:r>
    </w:p>
    <w:p>
      <w:r>
        <w:t>A/3802/2012 - 10/15 -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L'art. 17 LPGA n'a pas apporté de modification aux principes jurisprudentiels développés sous le régime de l'ancien art. 41 LAI, en vigueur jusqu'au 31 décembre 2002 (ATF 130 V 343 consid. 3.5). 7. En l’espèce, force est de constater que, contrairement à ce que soutient la recourante, les conditions d’une révision sont réunies puisqu’elle a repris une activité lucrative, ce qui constitue indéniablement un changement important de circonstances. Celles-ci ont d’ailleurs également évolué sur le plan de la situation personnelle de l’intéressée puisqu’ainsi qu’elle l’invoque elle-même, son statut pourrait avoir changé. Reste à vérifier concrètement si ces changements ont influencé concrètement le droit à la rente de la recourante et, dans l’affirmative, dans quelle mesure. 8. a) Se pose en premier lieu la question de savoir quel statut il convient d'accorder à l'assurée, plus précisément, s’il se justifie de modifier le statut d’active à 50% qui lui a été reconnu jusqu’alors. L’intimé considère que tel n’est pas le cas, alors que la recourante soutient que sa situation personnelle a changé au point qu’il faudrait désormais lui reconnaître le statut d’active à 80%, voire 100%.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w:t>
      </w:r>
    </w:p>
    <w:p>
      <w:r>
        <w:t>A/3802/2012 - 11/15 -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Selon le principe de la "déclaration de la première heure" développé par la jurisprudence et applicable de manière générale en assurances sociales (arrêt non publié du Tribunal fédéral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9. En l'espèce, il est vrai que jamais la recourante n’a exercé au taux de 80% auquel elle allègue qu’elle aurait travaillé si son état de santé le lui avait permis. Il est vrai également que l’intéressée n’en a jamais eu le loisir puisque son état de santé s’est dégradé alors qu’elle n’était âgée que de 10 ans. Cet élément n’est donc pas relevant. En revanche, on relèvera que la recourante a toujours manifesté l’intention d’exercer une activité lucrative, même lorsque son fils était encore petit. Ainsi, en</w:t>
      </w:r>
    </w:p>
    <w:p>
      <w:r>
        <w:t>A/3802/2012 - 12/15 - 2003, lorsqu’il avait 10 ans, elle affirmait qu’elle aurait travaillé à 50%, voire 60%, ce que l’intimé a alors considéré comme vraisemblable. Force est de constater que la situation personnelle et financière de la recourante a bien évolué depuis lors puisqu’en décembre 2012, date de la décision litigieuse, elle était en instance de divorce, ne disposait plus que de sa rente d’invalidité et de la pension versée par son futur ex-époux à titre de revenus et que son fils était désormais âgé de 19 ans. Certes, les dépenses de la recourante peuvent a priori sembler réduites – à tout le moins son loyer - ; on ignore le détail de ses autres dépenses. On ne saurait cependant en tirer la conclusion péremptoire, comme le fait l’intimé, qu’elle devrait se contenter de sa demi-rente, ajoutée à la pension alimentaire versée par son ex- époux. Ce serait partir de l’idée préconçue qu’une femme disposant d’une pension alimentaire « confortable » ne peut avoir d’autre ambition que de s’en contenter. C’est oublier qu’elle peut avoir envie de travailler, parce que cela participe à étoffer sa vie sociale ou à améliorer son ordinaire, tout simplement. Tel est manifestement le cas de la recourante qui, dès le début de la procédure de révision, a affirmé à l’enquêtrice ménagère qu’au vu de sa situation, elle travaillerait désormais à 80% au moins. En l’espèce, les circonstances personnelles, familiales, sociales, financières et professionnelles permettent d’admettre, au degré de vraisemblance prépondérante requis, que la recourante, si son état de santé le lui avait permis, travaillerait désormais à 80% au moins : son fils est désormais autonome, la recourante est séparée et le travail est bénéfique à son état de santé psychique ; quant aux 3'000 fr. versés par son ex-mari, ils correspondent, ainsi que le relève l’intimé lui-même, à un salaire minimum à mi-temps, de sorte qu’un revenu supplémentaire serait donc bienvenu pour permettre un train de vie plus agréable. c) En conclusion, les griefs de la recourante relatifs à la qualification de son statut par l'intimé sont tout à fait justifiés. Il convient de la considérer désormais comme une personne active à 80%. 10. Il faut à présent revenir sur la détermination du degré d'invalidité de la recourante en vertu de ce nouveau statut. 11. En vertu de l’art. 28 al. 2 LAI, l’assuré a droit à une rente entière s’il est invalide à 70% au moins, à un trois-quarts de rente s'il est invalide à 60% au moins, à une demi-rente s’il est invalide à 50% au moins, ou à un quart de rente s’il est invalide à 40% au moins. 12.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w:t>
      </w:r>
    </w:p>
    <w:p>
      <w:r>
        <w:t>A/3802/2012 - 13/15 - degré d'invalidité d'après le handicap dont la personne est affectée dans les deux domaines d'activité en question; c'est la méthode mixte d'évaluation de l'invalidité (art. 28a al. 3 LAI en corrélation avec l'art. 27bis RAI; voir par ailleurs ATF 131 V 51 consid. 5.1.2 p. 53). b) Lorsqu'on évalue l'invalidité d'un assuré d'après la méthode mixte,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d) Le revenu sans invalidité se détermine en règle générale d'après le dernier salaire que l'assuré a obtenu avant l'atteinte à la santé, en tenant compte de l'évolution des salaires jusqu'au moment du prononcé de la décision (ATF 129 V 224 consid. 4.3.1). 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13. En l'espèce, l’intimé a constaté que, sans invalidité, l’assurée aurait réalisé, à mi- temps un revenu de 36'629 fr., ce qui correspond à un revenu annuel de 58'606 fr. pour un taux de 80%, ce qui, comparé au revenu effectivement réalisé par la recourante en 2012 (6'225 fr.), correspond à une perte de gain de 89% et à un degré d’invalidité de 71,2% dans la sphère professionnelle. Si l’on y ajoute les 27% d’empêchement retenus dans la sphère ménagère (à 20%), cela conduit à un degré</w:t>
      </w:r>
    </w:p>
    <w:p>
      <w:r>
        <w:t>A/3802/2012 - 14/15 - d’invalidité global de plus de 76%, suffisant pour conserver à la recourante son droit à une rente entière. Dans ces conditions, il est inutile d’examiner ici les griefs de la recourante relatifs à l’enquête ménagère. 14. Eu égard aux considérations qui précèdent, le recours est admis et la décision litigieuse annulée.</w:t>
      </w:r>
    </w:p>
    <w:p>
      <w:r>
        <w:t>A/3802/2012 - 15/15 -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