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ATAS/310/2013 vom 27. März 2013</w:t>
      </w:r>
    </w:p>
    <w:p>
      <w:r>
        <w:t>GE Cour de justice, 2013-03-27, FR</w:t>
      </w:r>
    </w:p>
    <w:p>
      <w:r>
        <w:rPr>
          <w:b/>
        </w:rPr>
        <w:t xml:space="preserve">Quelle: </w:t>
      </w:r>
      <w:r>
        <w:t>https://mcp.opencaselaw.ch/entscheid/ge_gerichte_ATAS_310_2013</w:t>
      </w:r>
    </w:p>
    <w:p>
      <w:r>
        <w:t>FR: GE_GERICHTE ATAS/310/2013 du 27 mars 2013</w:t>
      </w:r>
    </w:p>
    <w:p>
      <w:r>
        <w:t>IT: GE_GERICHTE ATAS/310/2013 del 27 marzo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 ss LPGA.</w:t>
      </w:r>
    </w:p>
    <w:p>
      <w:r>
        <w:rPr>
          <w:b/>
        </w:rPr>
        <w:t>E. 3</w:t>
      </w:r>
    </w:p>
    <w:p>
      <w:r>
        <w:t>Est litigieuse en l'occurrence la question de savoir si le recourant présente, au sens de la loi et de la jurisprudence, un taux d'invalidité lui ouvrant le droit à des prestations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A/2970/2012 - 7/15 -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A/2970/2012 - 8/15 -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7</w:t>
      </w:r>
    </w:p>
    <w:p>
      <w:r>
        <w:t>En l’occurrence, l’intimé a retenu, en se fondant principalement sur l’expertise du Dr N__________, que le recourant a une capacité de travail entière dans une activité adaptée, ce que ce dernier conteste. Selon l’expertise rendue le 16 février 2012 par le Dr N__________, spécialiste FMH en rhumatologie, le recourant présente une lombo-sciatalgie droite par sténose foraminale L4-L5 droite, non déficitaire, dans un contexte de majoration des plaintes. Les limitations fonctionnelles consistaient à éviter les efforts de manutentions lourdes et répétées supérieures à 20 kg, le travail prolongé en porte-à- faux lombaire et la marche prolongée. La capacité de travail dans l’activité habituelle - qui comportait uniquement des travaux légers et qui n’était pas contre- indiquée par les limitations fonctionnelles - était entière avec une diminution de rendement de 20% dès le 16 février 2012. Dans une activité adaptée, la capacité de travail et le rendement étaient de 100% dès cette date.</w:t>
      </w:r>
    </w:p>
    <w:p>
      <w:r>
        <w:t>A/2970/2012 - 9/15 - Il convient de constater que le rapport du Dr N__________ se base sur des examens du recourant et sur l'entier de son dossier médical. L'expert a demandé et joint à son rapport ceux des Drs O__________, P__________ et Q__________ dont il résulte notamment du dernier qu'il existe un état de la dénervation aiguë dans le muscle jambier antérieur droit, d'une discrète lésion radiculaire L4 droite et d'une symptomatologie compatible avec un canal lombaire étroit avec claudication neurogène. L’anamnèse est complète et les plaintes ont été prises en considération. La description et l’appréciation de la situation médicale sont claires. L’expert s’est exprimé sur l'état de santé du recourant, sur sa capacité de travail et sur ses limitations fonctionnelles. Ses conclusions sont cohérentes et convaincantes. Il s’ensuit que son rapport remplit en tous points les réquisits jurisprudentiels pour que lui soit accordée une pleine valeur probante. Une précision doit toutefois être apportée concernant la capacité de travail retenue par l’expert dans l’activité habituelle, soit 100% avec une baisse de rendement de 20%. Il résulte en effet des explications fournies par ce médecin, que cette appréciation se fonde sur la description faite par le recourant de son activité habituelle, selon laquelle cette activité ne comportait que des travaux légers qui étaient adaptés aux limitations fonctionnelles (rapport d’expertise p. 9). Or, au vu du descriptif fourni par l’employeur en date du 17 novembre 2011 (pièce 6 chargé intimé), force est de constater que l’activité habituelle du recourant n’était ni légère, ni adaptée aux limitations fonctionnelles puisque ce dernier s’occupait notamment de la démolition de galandages et du nettoyage des chantiers et qu’il devait rester debout, marcher et soulever ou porter des charges entre 10 et 25 kg. Dans la mesure où l’appréciation de la capacité de travail dans l’activité habituelle, telle qu’effectuée par l’expert, se fonde sur un descriptif erroné de cette activité, elle ne saurait être retenue. Au demeurant, l’intimé a considéré dans sa décision litigieuse que la capacité de travail dans l’activité habituelle était nulle à compter du 6 octobre 2011, ce qui n’est pas contesté, ni contestable au vu des limitations fonctionnelles retenues par le Dr N__________ et du rapport établi par la Dresse M__________ reçu le 7 décembre 2011 par l’intimé. Par ailleurs, s’agissant de la capacité de travail dans une activité adaptée aux limitations fonctionnelles - 100% sans baisse de rendement -, on relèvera qu’aucune pièce médicale versée au dossier ne permet de remettre en cause les conclusions de l’expert, étant précisé que la Dresse M__________, dans son rapport précité, a également considéré qu’une activité adaptée, ne sollicitant pas le dos, était exigible de la part du recourant, sans toutefois se prononcer sur le taux de cette capacité. Selon ce médecin, les douleurs pouvaient être traitées par des médicaments. Elles se manifestaient par ailleurs surtout à la mobilisation. Ainsi, le recourant était en mesure d'exercer une activité assise, sans alternance des positions. De surcroît, il ressort de l'expertise que le recourant ne prenait pas l'antidouleur (Tramadal), ce qui permet de douter de l'intensité des plaintes alléguées.</w:t>
      </w:r>
    </w:p>
    <w:p>
      <w:r>
        <w:t>A/2970/2012 - 10/15 - Enfin, il convient de relever que rien n'indique, comme le fait valoir le recourant dans le cadre de la présente procédure, que son état de santé nécessitait encore - à la date déterminante de la décision litigieuse, soit le 3 septembre 2012 - des investigations complémentaires. Compte tenu de ce qui précède, la capacité de travail du recourant est nulle dans son activité habituelle dès octobre 2011 et totale dans une activité adaptée dès le 16 février 2012. Reste encore à examiner le degré d’invalidité que présente le recourant.</w:t>
      </w:r>
    </w:p>
    <w:p>
      <w:r>
        <w:rPr>
          <w:b/>
        </w:rPr>
        <w:t>E. 8</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9</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w:t>
      </w:r>
    </w:p>
    <w:p>
      <w:r>
        <w:t>A/2970/2012 - 11/15 -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w:t>
      </w:r>
    </w:p>
    <w:p>
      <w:r>
        <w:t>A/2970/2012 - 12/15 - s'appuyer sur des circonstances de nature à faire apparaître sa propre appréciation comme la mieux appropriée (ATF 126 V 75 consid. 6, ATF 123 V 150 consid. 2 et les références; ATF non publié 8C_337/2009 du 18 février 2010, consid. 7.5).</w:t>
      </w:r>
    </w:p>
    <w:p>
      <w:r>
        <w:rPr>
          <w:b/>
        </w:rPr>
        <w:t>E. 10</w:t>
      </w:r>
    </w:p>
    <w:p>
      <w:r>
        <w:t>En l’occurrence, le droit éventuel à la rente est né au plus tôt en 2012 dès lors que le début de l’incapacité de travail déterminante remonte au mois d’octobre 2011. Cela étant, en l’absence des données statistiques relatives à l’année 2012, on se référera aux salaires avec et sans invalidité au regard de l’année 2011. S’agissant du salaire sans invalidité, il y a lieu de prendre en compte un salaire annuel en 2011 de 70'946 fr. correspondant au salaire annuel brut perçu en 2010 et figurant sur le CI (70'244 fr.) indexé en 2011 selon l’évolution des salaires en termes nominaux (1% ; La Vie économique, 9-2012, p. 95, B 10.2). S’agissant du salaire avec invalidité, le recourant n’ayant pas repris d’activité lucrative, c’est à juste titre que l’intimé s’est référé aux ESS. En l’espèce, le salaire de référence est celui auquel peuvent prétendre les hommes effectuant des activités simples et répétitives (niveau de qualification 4) dans le secteur privé, à savoir 58'812 fr. par année (ESS 2010,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2010 (41,6 heures ; La Vie économique, 9- 2012, p. 94, B 9.2), ce montant doit être porté à 61'164 fr. pour un plein temps (58'812 x 41.6 : 40) et à 61'775 fr. indexé à 2011 selon l’évolution des salaires en termes nominaux (1% ; La Vie économique, 9-2012, p. 95, B 10.2). A ce montant, il convient encore, conformément à la jurisprudence, d’appliquer un facteur de réduction sur le salaire statistique. En l’occurrence, l’intimé a retenu un abattement de 15% sur le salaire statistique compte tenu des limitations fonctionnelles et de l’âge du recourant (55 ans). Cela étant, il y a lieu de relever que cet abattement ne tient pas compte de manière appropriée des années de service (13 ans d’ancienneté) et de la nationalité marocaine du recourant, de sorte que l’on retiendra un abattement de 20%. Compte tenu donc de l’abattement de 20%, le revenu avec invalidité sur la base statistique s’élève à 49’420 fr. (61’775 fr. - 12’355 fr.) qui, une fois comparé avec le revenu sans invalidité de 70'946 fr., donne un taux d’invalidité de 30% (70'946 - 49’420 : 70'946 x 100), soit un taux insuffisant pour ouvrir le droit à une rente. On ajoutera enfin que même si on devait retenir un abattement de 25%, cela porterait le revenu d’invalide à 46’332 fr. (61’775 fr. - 15’443 fr.) et le degré d’invalidité à 35% (70'946 - 46'332 : 70'946 x 100), soit également un taux insuffisant pour ouvrir le droit à une rente.</w:t>
      </w:r>
    </w:p>
    <w:p>
      <w:r>
        <w:t>A/2970/2012 - 13/15 - Compte tenu de ce qui précède, c’est à juste titre que l’intimé a nié le droit du recourant à une rente.</w:t>
      </w:r>
    </w:p>
    <w:p>
      <w:r>
        <w:rPr>
          <w:b/>
        </w:rPr>
        <w:t>E. 11</w:t>
      </w:r>
    </w:p>
    <w:p>
      <w:r>
        <w:t>Reste encore à se prononcer sur le droit à une éventuelle mesure de reclassement professionnel.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t>A/2970/2012 - 14/15 -</w:t>
      </w:r>
    </w:p>
    <w:p>
      <w:r>
        <w:rPr>
          <w:b/>
        </w:rPr>
        <w:t>E. 12</w:t>
      </w:r>
    </w:p>
    <w:p>
      <w:r>
        <w:t>En l’occurrence, le recourant ne peut certes plus travailler en qualité de maçon. Cela étant, vu les limitations fonctionnelles qu’il présente - éviter les efforts de manutentions lourdes et répétées supérieures à 20 kg, le travail prolongé en porte-à- faux lombaire et la marche prolongée - il y a lieu de considérer qu’un marché équilibré du travail offre un éventail des postes de travail suffisamment large, diversifié et adapté à ces dernières et pour lesquels une simple mise au courant suffit. En outre, on relèvera que le recourant, âgé de 55 ans au moment de la décision litigieuse, percevait un salaire sans invalidité relativement élevé, bien qu’il ne disposait pas d’une formation certifiée. Compte tenu de l’ensemble de ces circonstances, il convient d’admettre qu’une mesure de reclassement ne respecterait pas le principe d’équivalence, ce d’autant moins que l’intéressé n’a pas fait preuve d’une motivation réelle pour la reprise d’une activité, invoquant à plusieurs reprises son inaptitude totale à travailler. C’est ainsi également à bon droit que l’intimé a nié le droit du recourant à une mesure de reclassement professionnel.</w:t>
      </w:r>
    </w:p>
    <w:p>
      <w:r>
        <w:rPr>
          <w:b/>
        </w:rPr>
        <w:t>E. 13</w:t>
      </w:r>
    </w:p>
    <w:p>
      <w:r>
        <w:t>Le recours doit par conséquent être rejeté.</w:t>
      </w:r>
    </w:p>
    <w:p>
      <w:r>
        <w:rPr>
          <w:b/>
        </w:rPr>
        <w:t>E. 14</w:t>
      </w:r>
    </w:p>
    <w:p>
      <w:r>
        <w:t>L'émolument de justice, fixé à 200 fr., est mis à la charge du recourant (art. 69 al. 1bis LAI).</w:t>
      </w:r>
    </w:p>
    <w:p>
      <w:r>
        <w:t>A/2970/2012 - 15/15 -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