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ATAS/310/2011 vom 22. März 2011</w:t>
      </w:r>
    </w:p>
    <w:p>
      <w:r>
        <w:t>GE Cour de justice, 2011-03-22, FR</w:t>
      </w:r>
    </w:p>
    <w:p>
      <w:r>
        <w:rPr>
          <w:b/>
        </w:rPr>
        <w:t xml:space="preserve">Quelle: </w:t>
      </w:r>
      <w:r>
        <w:t>https://mcp.opencaselaw.ch/entscheid/ge_gerichte_ATAS_310_2011</w:t>
      </w:r>
    </w:p>
    <w:p>
      <w:r>
        <w:t>FR: GE_GERICHTE ATAS/310/2011 du 22 mars 2011</w:t>
      </w:r>
    </w:p>
    <w:p>
      <w:r>
        <w:t>IT: GE_GERICHTE ATAS/310/2011 del 22 marzo 2011</w:t>
      </w:r>
    </w:p>
    <w:p>
      <w:pPr>
        <w:pStyle w:val="Heading2"/>
      </w:pPr>
      <w:r>
        <w:t>Volltext</w:t>
      </w:r>
    </w:p>
    <w:p>
      <w:r>
        <w:t>Siégeant : Sabina MASCOTTO, Présidente; Diane BROTO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A/469/2011 ATAS/310/2011 COUR DE JUSTICE Chambre des assurances sociales Arrêt du 22 mars 2011 2ème Chambre</w:t>
      </w:r>
    </w:p>
    <w:p>
      <w:r>
        <w:t>En la cause Madame B____________, domiciliée à Châtelaine</w:t>
      </w:r>
    </w:p>
    <w:p>
      <w:r>
        <w:t>recourante</w:t>
      </w:r>
    </w:p>
    <w:p>
      <w:r>
        <w:t>contre OFFICE DE L'ASSURANCE-INVALIDITE DU CANTON DE GENEVE, domicilié rue de Lyon 97, 1203 Genève</w:t>
      </w:r>
    </w:p>
    <w:p>
      <w:r>
        <w:t>intimé</w:t>
      </w:r>
    </w:p>
    <w:p>
      <w:r>
        <w:t>A/469/2011 - 2/2 - Vu la décision du 10 février 2011 de l’Office de l'assurance-invalidité du canton de Genève (ci-après : OAI) refusant des mesures professionnelles à Madame B____________ (ci-après : la recourante ou l’assurée) et lui octroyant une rente entière d’invalidité basée sur un degré d’invalidité de 100 % dès le 8 juillet 2010 ; Vu le recours du 14 février 2011 de l’assurée qui affirme être capable de travailler et joint notamment un certificat médical de son médecin traitant ; Vu le courrier du 11 mars 2011 de la recourante qui déclare retirer son recours et s’en remettre à l’avis de l’OAI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