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ATAS/30/2024 vom 22. Januar 2024</w:t>
      </w:r>
    </w:p>
    <w:p>
      <w:r>
        <w:t>GE Cour de justice, 2024-01-22, FR</w:t>
      </w:r>
    </w:p>
    <w:p>
      <w:r>
        <w:rPr>
          <w:b/>
        </w:rPr>
        <w:t xml:space="preserve">Quelle: </w:t>
      </w:r>
      <w:r>
        <w:t>https://mcp.opencaselaw.ch/entscheid/ge_gerichte_ATAS_30_2024</w:t>
      </w:r>
    </w:p>
    <w:p>
      <w:r>
        <w:t>FR: GE_GERICHTE ATAS/30/2024 du 22 janvier 2024</w:t>
      </w:r>
    </w:p>
    <w:p>
      <w:r>
        <w:t>IT: GE_GERICHTE ATAS/30/2024 del 22 gennaio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La demande de prestations ayant été déposée le 16 avril 2019, le droit en vigueur jusqu’au 31 décembre 2021 est applicable au cas d’espèce.</w:t>
      </w:r>
    </w:p>
    <w:p>
      <w:r>
        <w:rPr>
          <w:b/>
        </w:rPr>
        <w:t>E. 3</w:t>
      </w:r>
    </w:p>
    <w:p>
      <w:r>
        <w:t>Interjeté en temps utile, le recours est recevable (art. 60 LPGA).</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A/2720/2022 - 8/14 -</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5.1</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w:t>
      </w:r>
    </w:p>
    <w:p>
      <w:r>
        <w:t>A/2720/2022 - 9/14 - que le critère de la résistance du trouble psychique à un traitement conduit dans les règles de l'art (ATF 143 V 409 consid. 4.4 ; arrêt du Tribunal fédéral 9C_369/2019 du 17 mars 2020 consid. 3 et les références).</w:t>
      </w:r>
    </w:p>
    <w:p>
      <w:r>
        <w:rPr>
          <w:b/>
        </w:rPr>
        <w:t>E. 5.3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6.2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A/2720/2022 - 10/14 -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8.1</w:t>
      </w:r>
    </w:p>
    <w:p>
      <w:r>
        <w:t>En l’occurrence, la chambre de céans a estimé qu’une expertise judiciaire était nécessaire, en considérant ce qui suit : L’intimé s’est fondé, pour rendre la décision litigieuse, sur le rapport d’expertise bidisciplinaire des Drs J______ et I______. L’aspect psychiatrique est contesté par le recourant. À cet égard, l’expertise psychiatrique du Dr I______ ne saurait se voir reconnaitre une pleine valeur probante, dès lors que, comme l’a souligné le recourant, elle ne traite pas de façon sérieuse la question de la prise de SEVRE-LONG par celui-ci. En effet, les psychiatres traitants du recourant ont relevé notamment un syndrome de dépendance aux opiacés et des limitations fonctionnelles totalement incapacitantes, soit un trouble de la concentration, un ralentissement psychomoteur, une aboulie, une vulnérabilité importante au stress, une absence de motivation, une anhédonie et une perte d’énergie (avis des Drs D______ du 29 juillet 2019 et E______ du 28 octobre 2010). Par ailleurs, la Dresse L______ a estimé que l’incapacité de travail était totale et que l’avis d’un addictologue était souhaitable et le Dr M______ que le recourant présentait une dépendance aux opiacés, un trouble panique et une dépression. Ces avis sont fortement divergents de celui du Dr I______, étant encore souligné que la description des ressources du recourant par celui-ci est très éloignée de celle relatée par le médecin traitant. Le Dr I______ souligne en effet un réseau du recourant constitué de 400 amis, des relations proches, une capacité à donner et recevoir un soutien affectif significatif, à évoluer au sein d’un groupe et un réseau relationnel amical, fonctionnel et soutenant (rapport d’expertise du Dr I______ pp. 42-43). Or, les médecins traitants du recourant ont au contraire relevé que celui-ci n’a pas de grand réseau social, quelques amis soutenants mais pas de relations amicales en dehors des gens qui consomment des toxiques (avis du Dr E______ du 28 octobre 2020) et qu’il présente une dépression, avec un isolement social (avis de la Dre L______ du 4 juillet 2022). S’agissant en particulier des 400 amis relevés par le Dr I______, le recourant a précisé en audience de comparution personnelle qu’il avait évoqué les 400 personnes issues de la communauté sri-lankaise qu’il ne voyait plus car il ne sortait presque plus (PV d’audition du 23 janvier 2023). Enfin, l’enregistrement de l’entretien d’expertise du Dr I______ permet de confirmer que celui-ci n’a pas pris la peine de questionner le recourant sur ce réseau de 400 amis, afin de comprendre si celui-</w:t>
      </w:r>
    </w:p>
    <w:p>
      <w:r>
        <w:t>A/2720/2022 - 11/14 - ci était un vrai réseau social soutenant ou une simple référence à la communauté sri-lankaise que le recourant, selon les précisions qu’il a données, ne fréquente plus en raison de son état de santé.</w:t>
      </w:r>
    </w:p>
    <w:p>
      <w:r>
        <w:rPr>
          <w:b/>
        </w:rPr>
        <w:t>E. 8.2</w:t>
      </w:r>
    </w:p>
    <w:p>
      <w:r>
        <w:t>La valeur probante de l’expertise judiciaire du Dr N______ est reconnue par les parties. Elle peut être confirmée, vu l’anamnèse complète et détaillée, la prise en compte de tous les éléments du dossier, les diagnostics clairs et l’estimation convaincante d’une capacité de travail nulle du recourant depuis 2015.</w:t>
      </w:r>
    </w:p>
    <w:p>
      <w:r>
        <w:rPr>
          <w:b/>
        </w:rPr>
        <w:t>E. 8.2.1</w:t>
      </w:r>
    </w:p>
    <w:p>
      <w:r>
        <w:t>En particulier, l’expertise du Dr I______ n’est pas convaincante. L’expert N______ a, à cet égard, relevé que l’anamnèse faite par le Dr I______ comprenait des lacunes majeures. Elle avait dû être refaite en intégralité, tant elle était erronée et insuffisante pour la compréhension du cas. Elle n’apportait pas d’éléments sur l’enfance carencée sur le plan émotionnel, sur les abus sexuels comme physiques, sur les relations familiales et sur l’impact du départ précoce de la maison sur le développement du trouble de la personnalité. L’examen du recourant avait été bâclé. Par ailleurs, le fait de ne pas établir un diagnostic, même pour les antécédents, chez un recourant connu pour des problèmes de toxicomanie et d’alcoolisme depuis plus de 20 ans et suivi par un service d’addictologie semblait correspondre plus à une volonté délibérée d’écarter des troubles qu’à les constater. L’information concernant le traitement suivi avait été occultée. Le rapport ne portait pas d’intérêt aux facteurs de stress émotionnels. Il n’apportait pas d’intérêt à ces éléments essentiels. Il n’apportait aucun éclairage sur les facteurs en jeu dans l’évolution de la psychopathologie. On ne savait rien sur le rôle du recourant dans la fratrie, sur la relation de couple, sur la situation familiale, sur l’impact du décès du père, sur le surmenage professionnel, sur la transformation totale de la personnalité. Tout ceci avait été écarté car le but du rapport semblait être de parvenir par tous les moyens à la conclusion d’une absence totale de toute pathologie psychique. Le fait que le recourant ne soit pas conscient de la gravité de ses troubles n’était pas la preuve de l’absence d’une capacité de travail. Les considérations que le recourant avait un réseau social de 400 personnes de sa communauté découlaient d’une incompréhension ou d’une manipulation des dires du recourant qui se référait à l’année 2010. Depuis plusieurs années, le recourant n’avait pas de vie sociale du tout ; il évitait en particulier sa communauté en raison d’un sentiment de honte et de culpabilité. Plusieurs autres éléments, comme le présumé voyage en avion du recourant pour rendre visite à sa mère au Sri Lanka, n’existaient pas. En effet, à cause de sa pathologie psychique, le recourant non seulement n’avait pas pu se rendre auprès de sa mère mais il était aussi le seul membre de la fratrie à ne pas avoir été à ses funérailles en 2022, ce dont il se culpabilisait encore maintenant. L’expert I______ notait le visionnement de reportages naturels, les exercices sportifs devant la télévision, la conduite d’une moto, le jardinage, l’écoute de la musique avec plaisir, tout était bon pour donner l’illusion d’une vie</w:t>
      </w:r>
    </w:p>
    <w:p>
      <w:r>
        <w:t>A/2720/2022 - 12/14 - harmonieuse et plaisante avec des « chances de guérison excellentes ». Pourtant, aucun de ces éléments n’avait été validé dans l’état actuel et un grand doute subsistait, vu les rapports médicaux des médecins traitants (qui avaient connu le recourant durant plus qu’une heure), qu’un tel état de santé ait existé en mai 2022. Par ailleurs, de quoi devait guérir le recourant qui n’avait pas de psychopathologie ? Le Dr I______ écartait toute atteinte thymique, alors même que le recourant lui avait fait part d’éléments relevant d’une telle atteinte. Il avait commis une erreur d’analyse des résultats de laboratoire, en estimant à tort que les taux plasmatiques étaient en dessous des normes attendues. Ce rapport était un status superficiel qui visait à noyer le lecteur dans une masse de symptômes écartés pour lui faire croire que le recourant n’avait rien de pathologique. Les plaintes et les observations objectives à l’appui étaient écartées et les informations sur l’état prémorbide confondues avec les actuelles.</w:t>
      </w:r>
    </w:p>
    <w:p>
      <w:r>
        <w:rPr>
          <w:b/>
        </w:rPr>
        <w:t>E. 8.2.2</w:t>
      </w:r>
    </w:p>
    <w:p>
      <w:r>
        <w:t>Au demeurant, il convient de suivre les conclusions du rapport de l’expert judiciaire N______ et de confirmer l’absence de valeur probante de celle du Dr I______. Partant, une incapacité de travail totale du recourant doit être reconnue depuis 2015. Vu le dépôt de la demande de prestations le 16 avril 2019, il convient, conformément aux conclusions de l’intimé, de reconnaitre au recourant un droit à une rente entière d’invalidité dès le 1er octobre 2019 et non pas dès le 16 avril 2019, comme requis par le recourant (cf. art. 29 al. 1 LPGA précité).</w:t>
      </w:r>
    </w:p>
    <w:p>
      <w:r>
        <w:rPr>
          <w:b/>
        </w:rPr>
        <w:t>E. 9.1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w:t>
      </w:r>
    </w:p>
    <w:p>
      <w:r>
        <w:t>A/2720/2022 - 13/14 -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9.2</w:t>
      </w:r>
    </w:p>
    <w:p>
      <w:r>
        <w:t>Vu en l’espèce l’absence totale de valeur probante de l’expertise du Dr I______, il se justifie de mettre les frais de l’expertise judiciaire de CHF 16'000.-, selon la note d’honoraires du Dr N______ du 2 novembre 2023, à charge de l’intimé.</w:t>
      </w:r>
    </w:p>
    <w:p>
      <w:r>
        <w:rPr>
          <w:b/>
        </w:rPr>
        <w:t>E. 10</w:t>
      </w:r>
    </w:p>
    <w:p>
      <w:r>
        <w:t>Partant, le recours sera partiellement admis, la décision de l’intimé annulée et il sera dit que le recourant a droit à une rente entière d’invalidité dès le 1er octobre 2019. Pour le surplus,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A/2720/2022 - 14/14 -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