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ATAS/30/2022 vom 21. Januar 2022</w:t>
      </w:r>
    </w:p>
    <w:p>
      <w:r>
        <w:t>GE Cour de justice, 2022-01-21, FR</w:t>
      </w:r>
    </w:p>
    <w:p>
      <w:r>
        <w:rPr>
          <w:b/>
        </w:rPr>
        <w:t xml:space="preserve">Quelle: </w:t>
      </w:r>
      <w:r>
        <w:t>https://mcp.opencaselaw.ch/entscheid/ge_gerichte_ATAS_30_2022</w:t>
      </w:r>
    </w:p>
    <w:p>
      <w:r>
        <w:t>FR: GE_GERICHTE ATAS/30/2022 du 21 janvier 2022</w:t>
      </w:r>
    </w:p>
    <w:p>
      <w:r>
        <w:t>IT: GE_GERICHTE ATAS/30/2022 del 21 gennaio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Déposé dans les forme et délai prévus par la loi (art. 56ss LPGA), le recours est recevable. On précisera dans ce cadre que si le recourant a pris certaines conclusions constatatoires, en principe irrecevables (cf. ATF 129 V 289 consid. 2.1), celles-ci n’ont pas de portée propre puisqu’elles ne sont que les prémisses des conclusions condamnatoires également formulées.</w:t>
      </w:r>
    </w:p>
    <w:p>
      <w:r>
        <w:rPr>
          <w:b/>
        </w:rPr>
        <w:t>E. 2</w:t>
      </w:r>
    </w:p>
    <w:p>
      <w:r>
        <w:t>La modification du 21 juin 2019 de la LPGA est entrée en vigueur le 1er janvier 2021. Dès lors que le présent recours était pendant devant la chambre de céans à cette date, il reste soumis à l'ancien droit (cf. art. 82a LPGA).</w:t>
      </w:r>
    </w:p>
    <w:p>
      <w:r>
        <w:rPr>
          <w:b/>
        </w:rPr>
        <w:t>E. 3</w:t>
      </w:r>
    </w:p>
    <w:p>
      <w:r>
        <w:t>Le litige porte sur le droit du recourant à des prestations de l’assurance-accidents, en particulier sur le point de savoir si son état de santé était stabilisé au 1er mai 2020, et dans l’affirmative sur son degré d’invalidité dès cette date. En ce qui concerne le taux de l’indemnité pour atteinte à l'intégrité, dès lors que l’intimée a acquiescé en cours de procédure à son augmentation à un taux de 14 % eu égard au caractère bilatéral des atteintes aux poignets souligné par le Dr E______, il n’est plus litigieux.</w:t>
      </w:r>
    </w:p>
    <w:p>
      <w:r>
        <w:rPr>
          <w:b/>
        </w:rPr>
        <w:t>E. 4.1</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4.2</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t>________________________________________</w:t>
      </w:r>
    </w:p>
    <w:p>
      <w:r>
        <w:t>A/4196/2020 - 6/20 -</w:t>
      </w:r>
    </w:p>
    <w:p>
      <w:r>
        <w:rPr>
          <w:b/>
        </w:rPr>
        <w:t>E. 4.3</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4.4</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w:t>
      </w:r>
    </w:p>
    <w:p>
      <w:r>
        <w:rPr>
          <w:b/>
        </w:rPr>
        <w:t>E. 5.1</w:t>
      </w:r>
    </w:p>
    <w:p>
      <w:r>
        <w:t>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w:t>
      </w:r>
    </w:p>
    <w:p>
      <w:r>
        <w:t>________________________________________</w:t>
      </w:r>
    </w:p>
    <w:p>
      <w:r>
        <w:t>A/4196/2020 - 7/20 - l'assurance-accidents, eu égard aux objectifs poursuivis par la LAA (arrêt du Tribunal fédéral 8C_336/2008 du 5 décembre 2008 consid. 3.1). La jurisprudence a développé sept critères permettant de retenir un lien de causalité adéquate entre un accident et une atteinte psychique additionnelle, dont le nombre qui doit être réalisé est fonction du degré de gravité de l’accident (arrêts du Tribunal fédéral 8C_729/2016 du 31 mars 2017 consid. 5.2 et 8C_98/2015 du 18 juin 2015 consid. 3.1)</w:t>
      </w:r>
    </w:p>
    <w:p>
      <w:r>
        <w:rPr>
          <w:b/>
        </w:rPr>
        <w:t>E. 6</w:t>
      </w:r>
    </w:p>
    <w:p>
      <w:r>
        <w:t>L'évaluation de l'invalidité par l'assurance-invalidité n'a pas de force contraignante pour l'assureur-accidents, qui n'a pas qualité pour recourir contre la décision de l’assurance-invalidité sur le droit à la rente ou sur le degré d'invalidité (ATF 131 V 362 consid. 2.2). Cela étant, la notion d'invalidité définie à l'art. 8 LPGA est en principe identique en matière d'assurance-accidents, d'assurance militaire et d'assurance-invalidité (ATF 126 V 288 consid. 2d ; arrêt du Tribunal fédéral des assurances I 853/05 du 28 décembre 2006 consid. 4.1.1). En raison de cette uniformité, il convient d'éviter que pour une même atteinte à la santé, ces trois branches d’assurance n'aboutissent à des appréciations divergentes quant au taux d'invalidité. Cela n'a toutefois pas pour conséquence de les libérer de l'obligation de procéder de manière indépendante à l'évaluation de l'invalidité dans chaque cas. En aucune manière un assureur ne peut se contenter de reprendre simplement et sans plus ample examen le taux d'invalidité fixé par l'autre assureur, car un effet obligatoire aussi étendu ne se justifierait pas. Cependant, l'évaluation de l'invalidité par l'un de ces assureurs ne peut être effectuée en faisant totalement abstraction de la décision rendue par l'autre. À tout le moins,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(arrêt du Tribunal fédéral des assurances U 323/04 du 30 août 2005 consid. 4.1). Une appréciation divergente ne peut intervenir qu'à titre exceptionnel et seulement s'il existe des motifs suffisants. À cet égard, il ne suffit donc pas qu'une appréciation divergente soit soutenable, voire même équivalente (arrêt du Tribunal fédéral des assurances I 50/04 du 30 novembre 2004 consid. 4).</w:t>
      </w:r>
    </w:p>
    <w:p>
      <w:r>
        <w:rPr>
          <w:b/>
        </w:rPr>
        <w:t>E. 7.1</w:t>
      </w:r>
    </w:p>
    <w:p>
      <w:r>
        <w:t>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w:t>
      </w:r>
    </w:p>
    <w:p>
      <w:r>
        <w:t>________________________________________</w:t>
      </w:r>
    </w:p>
    <w:p>
      <w:r>
        <w:t>A/4196/2020 - 8/20 - travailler. En outre, les données médicales constituent un élément utile pour déterminer quels travaux on peut encore, raisonnablement, exiger de l'assuré (ATF 125 V 256 consid. 4; ATF 115 V 133 consid. 2).</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________________________________________</w:t>
      </w:r>
    </w:p>
    <w:p>
      <w:r>
        <w:t>A/4196/2020 - 9/20 - pour remettre en cause les conclusions de l'expert (arrêt du Tribunal fédéral 9C_405/2008 du 29 septembre 2008 consid. 3.2).</w:t>
      </w:r>
    </w:p>
    <w:p>
      <w:r>
        <w:rPr>
          <w:b/>
        </w:rPr>
        <w:t>E. 8.1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8.2</w:t>
      </w:r>
    </w:p>
    <w:p>
      <w:r>
        <w:t>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w:t>
      </w:r>
    </w:p>
    <w:p>
      <w:r>
        <w:rPr>
          <w:b/>
        </w:rPr>
        <w:t>E. 8.3</w:t>
      </w:r>
    </w:p>
    <w:p>
      <w:r>
        <w:t>Pour déterminer le revenu d'invalide de l'assuré, il faut en l'absence d'un revenu effectivement réalisé se référer aux données salariales, telles qu'elles résultent des ESS (ATF 126 V 75 consid. 3b). L’application des ESS et en particulier du niveau de compétence est une question de droit (ATF 143 V 295 consid. 2.4). Depuis 2012, l’ESS prévoit pour recenser les revenus quatre niveaux de compétence : le niveau de compétence 4, qui comprend les activités avec résolution de problèmes complexes et prise de décision, le niveau de compétence 3, c’est-à-dire des activités pratiques complexes, le niveau de compétence 2 correspondant à des activités pratiques telles que vente / soins / traitement de données et administration / utilisation de machines, et le niveau de compétence 1, qui comprend des activités simples (L’Enquête suisse sur la structure des salaires 2012, Neuchâtel 2015, p. 18). S’agissant du niveau de compétence, le Tribunal fédéral a considéré qu’un assuré au bénéfice d'un</w:t>
      </w:r>
    </w:p>
    <w:p>
      <w:r>
        <w:t>________________________________________</w:t>
      </w:r>
    </w:p>
    <w:p>
      <w:r>
        <w:t>A/4196/2020 - 10/20 - diplôme d'aide-comptable et ayant accompli un stage pratique auprès d’un service de comptabilité devait se voir imputer le niveau de compétence 2 (arrêt du Tribunal fédéral 8C_610/2017 du 3 avril 2018 consid. 4.3). Il a précisé que depuis 2012, l'accent est mis sur le type de tâches que l'assuré est susceptible d'assumer en fonction de ses qualifications, mais pas sur les qualifications en elles-mêmes. Il a ainsi admis qu’un assuré ayant obtenu un reclassement dans la profession de comptable justifiait le choix du niveau 2 de compétence, dès lors qu’il pouvait mettre en valeur ses connaissances nouvellement acquises même s’il n’avait pas encore d’expérience dans le domaine (arrêt du Tribunal fédéral 9C_901/2017 du 28 mai 2018 consid. 3.3). Notre Haute Cour a également relevé qu’un niveau 3 (soit l’actuel niveau 2) pourrait entrer en considération pour un assuré ayant travaillé plusieurs années en tant que chauffeur de taxi indépendant, et qui disposait à ce titre de connaissances commerciales et comptables (arrêt du Tribunal fédéral des assurances I 136/05 du 7 septembre 2005 consid. 5.2).</w:t>
      </w:r>
    </w:p>
    <w:p>
      <w:r>
        <w:rPr>
          <w:b/>
        </w:rPr>
        <w:t>E. 8.4</w:t>
      </w:r>
    </w:p>
    <w:p>
      <w:r>
        <w:t>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w:t>
      </w:r>
    </w:p>
    <w:p>
      <w:r>
        <w:rPr>
          <w:b/>
        </w:rPr>
        <w:t>E. 8.5</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percevoir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8.6</w:t>
      </w:r>
    </w:p>
    <w:p>
      <w:r>
        <w:t>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Marc REICHMUTH, Rechtsprechung des Bundesgerichts zum IVG, 3ème éd. 2014, n. 108 ad art. 28a LAI). À titre d’exemple, le Tribunal fédéral a retenu que ce facteur justifiait une déduction de 5 % dans le cas d’une assurée âgée de 46 ans (arrêt du Tribunal fédéral 9C_160/2014 du 30 juin 2014 consid. 5.3). Toutefois, les années de service ne</w:t>
      </w:r>
    </w:p>
    <w:p>
      <w:r>
        <w:t>________________________________________</w:t>
      </w:r>
    </w:p>
    <w:p>
      <w:r>
        <w:t>A/4196/2020 - 11/20 -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S’agissant des limitations fonctionnelles aux membres supérieurs, à titre d’exemple, le Tribunal fédéral a confirmé un abattement de 15 % en raison de limitations consistant à éviter les mouvements répétitifs ou d'effort du membre supérieur droit (arrêt du Tribunal fédéral 9C 839/2017 du 24 avril 2018 consid. 6.3).</w:t>
      </w:r>
    </w:p>
    <w:p>
      <w:r>
        <w:rPr>
          <w:b/>
        </w:rPr>
        <w:t>E. 9.1</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9.2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w:t>
      </w:r>
    </w:p>
    <w:p>
      <w:r>
        <w:t>________________________________________</w:t>
      </w:r>
    </w:p>
    <w:p>
      <w:r>
        <w:t>A/4196/2020 - 12/20 -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10</w:t>
      </w:r>
    </w:p>
    <w:p>
      <w:r>
        <w:t>Dans le cas d’espèce, le recourant conteste en premier lieu la stabilisation de son état de santé. Madame F______, physiothérapeute du recourant, a relevé dans son rapport du 11 juin 2019 à la CNA le manque d’efficacité du traitement de physiothérapie sur la problématique centrale du recourant, soit sur ses douleurs. Les médecins de la Consultation de la douleur des HUG, que le médecin a consultés le 7 mai 2019, avaient certes préconisé, outre certaines adaptations médicamenteuses, une poursuite de la physiothérapie active. Ils ont cependant relevé dans leur rapport du</w:t>
      </w:r>
    </w:p>
    <w:p>
      <w:r>
        <w:rPr>
          <w:b/>
        </w:rPr>
        <w:t>E. 11</w:t>
      </w:r>
    </w:p>
    <w:p>
      <w:r>
        <w:t>décembre 2019 que le recourant décrivait une évolution plus favorable sur le plan psychique que sur le plan somatique. Il voyait un psychiatre et une psychologue depuis environ dix mois. Un psychotrope lui avait été prescrit au début, qu'il avait arrêté depuis quatre mois car il estimait aller mieux. Ses plaintes spontanées étaient avant tout les douleurs du poignet. Son moral avait été très bas quelque temps auparavant, car il avait du mal à accepter et se voyait définitivement handicapé. Cependant, grâce notamment au traitement psychiatrique et à la médication, il avait pu commencer à faire un deuil et à essayer de vivre avec son handicap. Il conservait quand même quelques inquiétudes quant à son avenir, notamment sur les plans professionnel et financier. Alors qu’auparavant, il avait tendance à rester cloitré chez lui, à s’isoler, il était redevenu plus actif, sortait et avait recommencé à se socialiser régulièrement. Il décrivait un moral bon la plupart du temps. Il n’exprimait aucune culpabilité et ne signalait pas de fatigue particulière. Il signalait des oublis fréquents, mais pas vraiment de problème de concentration. Le sommeil était bon. Les ruminations</w:t>
      </w:r>
    </w:p>
    <w:p>
      <w:r>
        <w:t>________________________________________</w:t>
      </w:r>
    </w:p>
    <w:p>
      <w:r>
        <w:t>A/4196/2020 - 16/20 - concernant l'avenir n’étaient pas envahissantes, ni quotidiennes. Elles étaient en phase avec le contexte existentiel particulier et pouvaient être considérées comme normales. À l’issue de son examen, le Dr D______ n’a retenu aucun diagnostic psychique. La capacité de travail du recourant était totale au plan psychique. Il a précisé qu'il avait noté lors de l’examen une exclusion/non utilisation quasiment complète des deux membres supérieurs, ce qui pourrait être le signe d’un processus d’invalidation.</w:t>
      </w:r>
    </w:p>
    <w:p>
      <w:r>
        <w:rPr>
          <w:b/>
        </w:rPr>
        <w:t>E. 11.1</w:t>
      </w:r>
    </w:p>
    <w:p>
      <w:r>
        <w:t>L’intimée a considéré que le recourant disposait d’une capacité de travail complète dans une activité adaptée à cette date. Elle se fonde sur ce point sur l’avis du Dr C______ du 8 novembre 2019. Ce médecin a fait réaliser une radiographie pour compléter son examen, laquelle a révélé au poignet droit une absence de solution de continuité, et un aspect traduisant une consolidation du foyer fracturaire avec néanmoins un léger index radio-cubital positif. À gauche, le foyer fracturaire était consolidé. Dans son appréciation, le Dr C______ a résumé le dossier médical du recourant, avant de rapporter que ce dernier se plaignait de douleurs des deux poignets, particulièrement lors de mouvements brusques. La mobilisation d'une charge de 5 kg déclenchait des douleurs. Il n’avait pas repris la conduite automobile. Lors du status, le médecin a noté l’absence de signe clinique en faveur d'une algodystrophie. Les diagnostics étaient ceux de fractures des deux poignets et de possible Complex Regional Pain Syndrom (CRPS) du poignet gauche, avec raideur. L’évolution n’était pas favorable, avec une aggravation de la mobilité par rapport au dernier examen, dans un contexte de crainte à la mobilisation. Au plan professionnel, l'ancienne activité de monteur-électricien n'était plus exigible, compte tenu des douleurs des deux poignets. Dans une activité professionnelle réalisée indifféremment en position assise ou debout, avec port ponctuel de charges limitées à 2 kg sur les deux poignets, en ayant la possibilité de conserver des bracelets de soutien, on pouvait s'attendre à la reprise d'une activité professionnelle à plein temps sans baisse de rendement.</w:t>
      </w:r>
    </w:p>
    <w:p>
      <w:r>
        <w:rPr>
          <w:b/>
        </w:rPr>
        <w:t>E. 11.2</w:t>
      </w:r>
    </w:p>
    <w:p>
      <w:r>
        <w:t>Le Dr C______ a émis ses conclusions au terme d’un examen clinique détaillé, en ayant pris connaissance de l’historique médical du recourant et de ses plaintes et après avoir complété son status par des examens radiologiques. Force est ainsi de constater que son rapport contient tous les éléments nécessaires au</w:t>
      </w:r>
    </w:p>
    <w:p>
      <w:r>
        <w:t>________________________________________</w:t>
      </w:r>
    </w:p>
    <w:p>
      <w:r>
        <w:t>A/4196/2020 - 14/20 - plan formel pour se voir reconnaître pleine valeur probante. En outre, les autres rapports des médecins ne permettent pas de s’écarter de l’exigibilité établie par le médecin d’arrondissement. En effet, les docteurs I______ et J______, médecins auprès de la CRR, où le recourant a séjourné du 12 juin au 11 juillet 2018, avaient dans leur rapport du 2 août 2018 émis un pronostic de réinsertion favorable dans une activité adaptée. Quant aux médecins de la Consultation de la douleur des HUG, ils ne se sont pas prononcés sur cet aspect. Le 11 décembre 2019, le Dr G______, rapportant des douleurs et une diminution fonctionnelle des mains, a indiqué que le recourant ne pourrait plus travailler en qualité d’électricien, ce qui n’est pas contesté. Ce médecin traitant a certes qualifié le pronostic de sombre du point de vue du travail dans son rapport du 14 octobre 2019, mais il ne fait pas état de diagnostics que le médecin d’arrondissement aurait ignorés, et cette indication est de plus insuffisamment motivée pour mettre en doute l’évaluation de ce dernier. Le Dr E______ a également confirmé l’exigibilité définie par le Dr C______. Le recourant fait en outre valoir que le possible CRPS évoqué par le Dr C______ dans sa première appréciation du 23 avril 2018 n’a pas été investigué. Sur ce point, on rappelle que cette atteinte, également connue sous les noms d’algodystrophie ou de maladie de Sudeck (arrêt du Tribunal fédéral 8C_528/2016 du 31 octobre 2016 consid. 4.2), y a été qualifiée de simplement possible. En outre, l’évocation de cette atteinte paraît en contradiction avec le fait que le médecin d’arrondissement a expressément exclu des signes d’algodystrophie lors de son examen de novembre 2019, à l’instar des médecins de la CRR. Ce diagnostic n’est en outre retenu par aucun autre médecin, en particulier ni par le Dr G______, ni par les médecins de la Consultation de la douleur. Dans ces circonstances, il n’y a pas lieu de procéder à des investigations supplémentaires pour exclure formellement une telle atteinte. Dans le cadre de la procédure devant la chambre de céans, le recourant a du reste sollicité plusieurs délais afin d’obtenir l’avis d’un spécialiste quant à ce diagnostic. Il a cependant précisé dans sa réplique du 1er juillet 2021 que le neurologue qu’il avait consulté avait uniquement réalisé un examen neuromyographique pour exclure un syndrome du tunnel carpien, sans investiguer un possible CRPS. Bien qu’on ne dispose pas du rapport de ce médecin, on peut raisonnablement admettre que s’il avait constaté des signes suggérant une telle pathologie, il aurait réalisé les examens nécessaires pour confirmer ou infirmer son existence, a fortiori dès lors que le recourant l’avait vu à cette fin. Par surabondance, on ajoutera que même si un CRPS devait être retenu eu égard à son évocation par le Dr C______ en avril 2018, le lien de causalité avec l’accident d’octobre 2017 ne serait pas nécessairement établi. En effet, selon la littérature médicale, le délai maximum entre un facteur déclenchant et la survenance d’un CRPS permettant d’attribuer la responsabilité à ce facteur est, selon les études, de 3 mois ou de 6 à 14 semaines. Lorsque ce délai dépasse 4 mois, le lien de causalité avec le traumatisme doit être sérieusement mis en doute (David IONTA, Le syndrome douloureux régional</w:t>
      </w:r>
    </w:p>
    <w:p>
      <w:r>
        <w:t>________________________________________</w:t>
      </w:r>
    </w:p>
    <w:p>
      <w:r>
        <w:t>A/4196/2020 - 15/20 - complexe [SDRC] et causalité en LAA in Jusletter du 18 octobre 2021, pp. 5-6 et les références médicales citées). Or, en l’espèce, aucun médecin n’a décrit de symptôme d’une telle atteinte avant l’examen du Dr C______ en avril 2018, plus de six mois après l’accident.</w:t>
      </w:r>
    </w:p>
    <w:p>
      <w:r>
        <w:rPr>
          <w:b/>
        </w:rPr>
        <w:t>E. 11.3</w:t>
      </w:r>
    </w:p>
    <w:p>
      <w:r>
        <w:t>S’agissant de la détermination de l’activité exigible du recourant, ses limitations fonctionnelles ne sont pas telles qu’il serait entièrement privé de l’usage de ses mains. Ni les médecins de la CRR, ni le Dr C______ n’ont proscrit totalement les activités exigeant des mouvements des mains ou des poignets. Les premiers avaient retenu à titre de limitations fonctionnelles provisoires, avant que la situation ne se stabilise, l’exclusion du port de charges de 5 kg, des mouvements nécessitant de la force des mains et des poignets, et des mouvements répétés des poignets. Il ressort également a contrario du certificat du 18 février 2020 de la physiothérapeute que les gestes des poignets sont possibles dans une certaine mesure, puisqu’elle évoque la possibilité d’utiliser un clavier ou une souris d’ordinateur - pendant une période certes limitée à 30 minutes d’affilée. On notera qu’elle restreint le port de charges à 2 kg, ce qui correspond à la limitation admise par le Dr C______. Enfin, le rapport des EPI – qui en toute hypothèse ne saurait primer sur les conclusions des médecins conformément à la jurisprudence – fait état de douleurs à l’assemblage et lors d’activités informatiques prolongées, ce qui démontre également que le recourant est encore en mesure de se servir de ses mains et de ses poignets. Du reste, selon la jurisprudence, il n’est pas irréaliste de retenir l’exigibilité d’une activité adaptée, à l’aune d’un marché équilibré du travail, dans le cas d’un assuré ayant subi des fractures des deux poignets entraînant des limitations fonctionnelles liées aux travaux exigeant de la force et l'utilisation répétitive de ces deux articulations (arrêt du Tribunal fédéral 8C_175/2017 du 30 octobre 2017).</w:t>
      </w:r>
    </w:p>
    <w:p>
      <w:r>
        <w:rPr>
          <w:b/>
        </w:rPr>
        <w:t>E. 11.4</w:t>
      </w:r>
    </w:p>
    <w:p>
      <w:r>
        <w:t>Au plan psychique, le Dr D______ a indiqué dans son rapport du</w:t>
      </w:r>
    </w:p>
    <w:p>
      <w:r>
        <w:rPr>
          <w:b/>
        </w:rPr>
        <w:t>E. 11.5</w:t>
      </w:r>
    </w:p>
    <w:p>
      <w:r>
        <w:t>Le rapport du Dr D______ doit également se voir reconnaître une pleine valeur probante, ce médecin l’ayant rédigé après avoir pris connaissance du dossier, en décrivant l’anamnèse et les doléances du recourant, et en décrivant ses constatations objectives. En outre, ses conclusions sont claires. Le rapport du 10 février 2020 du docteur K______, spécialiste FMH en psychiatrie et médecin traitant du recourant, ne suffit pas à les remettre en cause. En effet, ce dernier y a diagnostiqué un épisode dépressif sévère sans symptômes psychotiques (F 32.2), signalant que le recourant restait handicapé des deux mains, avec des douleurs persistantes, et qu’il se plaignait d’insomnies avec des réveils nocturnes en raison des douleurs. Selon le psychiatre, qui préconisait un stage d’observation, le recourant n’avait plus de ressources psycho-cognitives ni de capacités d’adaptation pour se confronter aux exigences du monde professionnel. Ce rapport n’emporte pas la conviction, dès lors que les plaintes du recourant qui y sont relatées semblent essentiellement relever du registre somatique, de sorte qu’on comprend mal sur quels éléments le diagnostic d’épisode dépressif sévère se fonde. Il paraît en outre contradictoire, en tant qu’il nie toute ressource et possibilité d’adaptation du recourant, en recommandant simultanément un stage d’observation. Ainsi, au vu des conclusions du Dr D______ quant à l’absence d’atteinte psychique incapacitante, l’examen d’un lien de causalité naturelle et adéquate entre l’accident et l’état de santé psychique du recourant s’avère inutile.</w:t>
      </w:r>
    </w:p>
    <w:p>
      <w:r>
        <w:rPr>
          <w:b/>
        </w:rPr>
        <w:t>E. 12</w:t>
      </w:r>
    </w:p>
    <w:p>
      <w:r>
        <w:t>L’intimée a procédé au calcul d’invalidité suivant dans sa note du 7 mai 2020. Le gain de valide a été fixé à CHF 72'780.- (soit CHF 32.30 par heure, multiplié par 40 heures par semaine, multiplié par 52 semaines, plus un 13ème salaire). Le gain avec invalidité était fondé sur l’Enquête suisse sur la structure des salaires (ESS) 2018, dans un niveau de compétence 2, soit un salaire annuel de CHF 67'788.-. Adapté à la durée normale de travail de 41.7 heures, le revenu après atteinte était de CHF 70'688.99, et de CHF 71'377.45 une fois indexé à 2020. Un abattement de 5 % portait ce revenu à CHF 67'809.-, ce qui aboutissait à une perte de gain de 6.83 %, arrondie à 7 %. S’agissant du gain avant invalidité, il correspond aux indications données par l’ancien employeur lors d’un entretien téléphonique du 26 février 2020, et le recourant a admis le montant pris en compte à ce titre dans sa réplique du 1er juillet 2021.</w:t>
      </w:r>
    </w:p>
    <w:p>
      <w:r>
        <w:t>________________________________________</w:t>
      </w:r>
    </w:p>
    <w:p>
      <w:r>
        <w:t>A/4196/2020 - 17/20 - En ce qui concerne le revenu après invalidité, le recourant s’en prend essentiellement au niveau de compétence 2 retenu par l’intimée, et au degré d’abattement. Il fait valoir qu’il ne dispose d’aucune autre formation que celle de monteur-électricien, que ses acquis scolaires sont très faibles et qu’il maîtrise mal le français. Le niveau de compétence 1 des statistiques ESS s'applique dès lors. Selon lui, si l’intimée prend en compte un niveau de compétence 2, elle doit procéder à un abattement en raison de son manque d'expérience professionnelle dans les activités correspondantes. Le salaire après invalidité doit faire l’objet d’un abattement également en raison de ses importantes limitations fonctionnelles et du fait qu’il n’a travaillé qu’en tant que monteur-électricien depuis le début de sa vie, et il faut donc tenir compte des années de service. Ces critères doivent conduire à un abattement d'à tout le moins 15 %. L’intimée fait quant à elle valoir que les connaissances linguistiques sont un facteur étranger à l’invalidité. Le recourant est en Suisse depuis 30 ans et a travaillé pour différentes entreprises, de sorte que le niveau de compétence 2 s’applique. Elle affirme que ce niveau est selon la jurisprudence applicable aux personnes ayant accompli des études ou une formation équivalente, pour autant qu'elles disposent des connaissances nécessaires de la matière et de la profession considérée ou des connaissances professionnelles spécialisées qui pourraient leur être utiles dans d'autres secteurs professionnels, ainsi qu’aux assurés au bénéfice d'un diplôme de commerce ou d'une maturité ou à un cadre inférieur. L’intimée souligne que l’arrêt rendu par la chambre de céans dans la cause opposant le recourant à l’OAI n’a pas d’effet contraignant à son encontre. La différence de 10 % dans les abattements respectivement retenus par la chambre de céans et l’intimée ne choque d’ailleurs pas. On relèvera que la chambre de céans a statué par arrêt du 22 juin 2021 (ATAS/646/2021) dans la procédure opposant le recourant à l’OAI sur son droit aux prestations de l’assurance-invalidité pour les seules atteintes consécutives à son accident. Dans le cadre de la présente procédure, l’intimée a été en mesure de prendre connaissance des considérants de cet arrêt, qu’elle a commentés dans ses observations du 22 septembre 2021. La chambre de céans y a établi le degré d’invalidité à 20.11 %, tenant compte d’un revenu sans invalidité de CHF 72'753.- en 2019, conformément aux indications de l’employeur, d’un revenu après invalidité fondé sur le revenu statistique tiré d’activités simples et répétitives pour un homme (ESS 2018, TA1_tirage_skill_level, niveau 1), et d’un abattement de 15 %, étant précisé que l’OAI n’a pour sa part admis aucune réduction sur le revenu statistique dans la décision querellée. Certes, la détermination du degré d’invalidité par l’assurance-invalidité n’a pas nécessairement d’effet contraignant pour l’assureur-accidents, a fortiori lorsque la décision (judiciaire) est entrée en force postérieurement à sa décision sur opposition. Cela étant, comme l’a souligné la jurisprudence, lorsque l’assureur-</w:t>
      </w:r>
    </w:p>
    <w:p>
      <w:r>
        <w:t>________________________________________</w:t>
      </w:r>
    </w:p>
    <w:p>
      <w:r>
        <w:t>A/4196/2020 - 18/20 - accidents répond des mêmes atteintes que l’assurance-invalidité, comme c’est le cas ici, une évaluation divergente doit reposer sur des motifs suffisants. De tels motifs n’existent pas en l’espèce. En ce qui concerne le niveau de compétence 2 que l’intimée a appliqué, eu égard au fait que le recourant est titulaire d’un CFC en qualité de monteur-électricien, sa motivation ne convainc pas. S’il est vrai que le Tribunal fédéral a admis un tel niveau de compétence lorsque l’assuré dispose de certaines qualifications ou compétences qui peuvent être transposées dans d’autres domaines, on ne peut retenir que tel soit le cas du recourant. Ses qualifications sont en effet spécifiques à son métier de monteur-électricien, qu’il ne peut plus exercer. Il n’est pas établi qu’il aurait acquis dans l’exercice de cette profession des compétences transversales, étant souligné qu’il a exclusivement été occupé comme employé et n’a ainsi pas pu, par exemple, développer des connaissances en matière administrative ou comptable qu’il pourrait mettre à profit dans un autre secteur d’activité. Le rapport des EPI souligne en outre que le recourant débute dans l’informatique. L’intimée ne donne d’ailleurs aucun exemple d’activités de niveau de compétence 2 auxquelles la formation du recourant permettrait ou à tout le moins faciliterait l’accès. Il y a ainsi lieu de donner raison au recourant et de retenir à titre de revenu d’invalide le salaire statistique tiré d’activités simples et répétitives, soit le revenu tiré de l’ESS 2018 (TA1_tirage_skill_level, niveau 1), généralement applicable selon la jurisprudence. Ce revenu était de CHF 5'417.- par mois et de CHF 65'004.- par an en 2018. Compte tenu de l’indexation et de l’adaptation à la durée normale de travail de 41.7 heures, il est de CHF 68'448.- en 2020. En ce qui concerne l’abattement, il n’y a pas non plus lieu de revenir sur celui retenu par la chambre de céans dans la procédure face à l’OAI, soit 15 %. Au vu des limitations fonctionnelles significatives du recourant et de la jurisprudence, cette réduction reflète en effet sa situation de manière plus adéquate que l’abattement de 5 % consenti par l’intimée. Cela porte le revenu après atteinte à la santé à CHF 58'179.10. La comparaison au gain sans invalidité de CHF 72'780.- aboutit à un degré d’invalidité de 20.06 %, qui sera arrondi à 20 % selon les règles mathématiques (ATF 130 V 121 consid. 3.2). Ce taux ouvre le droit à une rente de 20 % dès le 1er mai 2020.</w:t>
      </w:r>
    </w:p>
    <w:p>
      <w:r>
        <w:rPr>
          <w:b/>
        </w:rPr>
        <w:t>E. 13</w:t>
      </w:r>
    </w:p>
    <w:p>
      <w:r>
        <w:t>S’agissant enfin de l’indemnité pour atteinte à l'intégrité, l’intimée s’est comme on l’a vu rangée à l’appréciation du Dr E______, qui l’a estimée à 14 % en tenant compte du fait que les deux poignets du recourant étaient atteints. La chambre de céans lui en donnera ainsi acte.</w:t>
      </w:r>
    </w:p>
    <w:p>
      <w:r>
        <w:rPr>
          <w:b/>
        </w:rPr>
        <w:t>E. 14</w:t>
      </w:r>
    </w:p>
    <w:p>
      <w:r>
        <w:t>Le recours est admis. Le recourant a droit à des dépens, qui seront fixés à CHF 2'500.- (art. 61 let. g LPGA). Pour le surplus, la procédure est gratuite (art. 61 let. a LPGA).</w:t>
      </w:r>
    </w:p>
    <w:p>
      <w:r>
        <w:t>________________________________________</w:t>
      </w:r>
    </w:p>
    <w:p>
      <w:r>
        <w:t>A/4196/2020 - 19/20 -</w:t>
      </w:r>
    </w:p>
    <w:p>
      <w:r>
        <w:t>________________________________________</w:t>
      </w:r>
    </w:p>
    <w:p>
      <w:r>
        <w:t>A/4196/2020 - 20/20 -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