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ATAS/30/2015 vom 19. Januar 2015</w:t>
      </w:r>
    </w:p>
    <w:p>
      <w:r>
        <w:t>GE Cour de justice, 2015-01-19, FR</w:t>
      </w:r>
    </w:p>
    <w:p>
      <w:r>
        <w:rPr>
          <w:b/>
        </w:rPr>
        <w:t xml:space="preserve">Quelle: </w:t>
      </w:r>
      <w:r>
        <w:t>https://mcp.opencaselaw.ch/entscheid/ge_gerichte_ATAS_30_2015</w:t>
      </w:r>
    </w:p>
    <w:p>
      <w:r>
        <w:t>FR: GE_GERICHTE ATAS/30/2015 du 19 janvier 2015</w:t>
      </w:r>
    </w:p>
    <w:p>
      <w:r>
        <w:t>IT: GE_GERICHTE ATAS/30/2015 del 19 gennaio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2</w:t>
      </w:r>
    </w:p>
    <w:p>
      <w:r>
        <w:t>Sa compétence pour juger du cas d’espèce est ainsi établie.</w:t>
      </w:r>
    </w:p>
    <w:p>
      <w:r>
        <w:rPr>
          <w:b/>
        </w:rPr>
        <w:t>E. 3</w:t>
      </w:r>
    </w:p>
    <w:p>
      <w:r>
        <w:t>La LPGA, entrée en force le 1er janvier 2003, est applicable au présent litige.</w:t>
      </w:r>
    </w:p>
    <w:p>
      <w:r>
        <w:rPr>
          <w:b/>
        </w:rPr>
        <w:t>E. 4</w:t>
      </w:r>
    </w:p>
    <w:p>
      <w:r>
        <w:t>Interjeté dans les forme et délai prévus par la loi, le recours est recevable (art. 56 ss LPGA).</w:t>
      </w:r>
    </w:p>
    <w:p>
      <w:r>
        <w:rPr>
          <w:b/>
        </w:rPr>
        <w:t>E. 5</w:t>
      </w:r>
    </w:p>
    <w:p>
      <w:r>
        <w:t>Le litige porte sur le droit de la recourante à une rente d'invalidité et à des mesures d’ordre professionnel.</w:t>
      </w:r>
    </w:p>
    <w:p>
      <w:r>
        <w:t>A/1631/2014 - 11/18 -</w:t>
      </w:r>
    </w:p>
    <w:p>
      <w:r>
        <w:rPr>
          <w:b/>
        </w:rPr>
        <w:t>E. 6</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rPr>
          <w:b/>
        </w:rPr>
        <w:t>E. 8</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w:t>
      </w:r>
    </w:p>
    <w:p>
      <w:r>
        <w:t>A/1631/2014 - 12/18 -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9</w:t>
      </w:r>
    </w:p>
    <w:p>
      <w:r>
        <w:t>Il existe différentes méthodes pour évaluer l'invalidité d'un assuré en fonction du statut de ce dernier. a)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Conformément à l'art. 61 al. 1 let. a de la loi sur la procédure administrative (LPA -</w:t>
      </w:r>
    </w:p>
    <w:p>
      <w:r>
        <w:t>A/1631/2014 - 13/18 - E 5 10), seul l'abus ou l'excès du pouvoir d'appréciation peut être revu par le Tribunal de céans. Il y a notamment excès de pouvoir d'appréciation négatif lorsque l'autorité renonce à faire usage de son pouvoir d'appréciation (ATF 116 V 307 consid. 2). b) Aux termes de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en fonction de son incapacité à accomplir ses travaux habituels. Dans ce cas, les parts respectives de l’activité lucrative ou du travail dans l’entreprise du conjoint et de l’accomplissement des travaux habituels sont déterminées; le taux d’invalidité est calculé dans les deux domaines d’activité. C'est la méthode mixte d'évaluation de l'invalidité (arrêt du Tribunal fédéral des assurances I 288/06 du 20 avril 2007 consid. 3.2.5).</w:t>
      </w:r>
    </w:p>
    <w:p>
      <w:r>
        <w:rPr>
          <w:b/>
        </w:rPr>
        <w:t>E. 10</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t>A/1631/2014 - 14/18 -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 e) En ce qui concerne la valeur probante d'un rapport d’enquête ménagère,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 arrêt du Tribunal fédéral 9C_406/2008 du 22 juillet 2008 consid. 4.2;). Le Tribunal fédéral retient cependant que lorsque l'empêchement résulte de troubles psychiques, une telle enquête n'est pas un moyen de preuve adéquat (VSI 2001 p. 159 consid. 3d). Cette jurisprudence a cependant été précisée en ce sens qu'en cas de divergence entre les constatations d'ordre médical relatives à la capacité d'accomplir les travaux habituels et les résultats de l'enquête économique, les premières prévalent en présence de troubles psychiques (arrêt du Tribunal fédéral des assurances I 311/03 du 22 décembre 2003 consid. 5.3).</w:t>
      </w:r>
    </w:p>
    <w:p>
      <w:r>
        <w:rPr>
          <w:b/>
        </w:rPr>
        <w:t>E. 11</w:t>
      </w:r>
    </w:p>
    <w:p>
      <w:r>
        <w:t>L’art. 17 al. 1er LPGA dispose que si le taux d’invalidité du bénéficiaire de la rente subit une modification notable, la rente est, d’office ou sur demande, révisée pour</w:t>
      </w:r>
    </w:p>
    <w:p>
      <w:r>
        <w:t>A/1631/2014 - 15/18 -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w:t>
      </w:r>
    </w:p>
    <w:p>
      <w:r>
        <w:rPr>
          <w:b/>
        </w:rPr>
        <w:t>E. 13</w:t>
      </w:r>
    </w:p>
    <w:p>
      <w:r>
        <w:t>S’agissant de l’incapacité à accomplir les travaux habituels dans le ménage, la recourante n’amène pas non plus d’élément qui justifie que l’on s’écarte de l’évaluation de l’enquêtrice, selon laquelle le degré d’invalidité dans ce domaine est de 21 %.</w:t>
      </w:r>
    </w:p>
    <w:p>
      <w:r>
        <w:rPr>
          <w:b/>
        </w:rPr>
        <w:t>E. 14</w:t>
      </w:r>
    </w:p>
    <w:p>
      <w:r>
        <w:t>Il reste à vérifier le calcul du degré d’invalidité opéré par l’intimé. On notera que, s’agissant du statut de la recourante, celle-ci a affirmé dans le questionnaire du 29 avril 2004 qu’elle travaillerait à plein temps sans problème de santé, alors que l’intimé a tenu compte d’un statut mixte avec une activité professionnelle à 50 %. La question du statut peut toutefois rester ouverte puisque, comme on le verra, même en se fondant sur un statut d’actif, le taux d’invalidité de 29 % dans la sphère professionnelle ne donnerait pas droit à une rente. Le recours aux données statistiques pour déterminer le revenu d’invalide est conforme à la jurisprudence citée et le salaire statistique retenu, de CHF 4'116.- pour des activités simples et répétitives pour une femme en 2008, est correct. L’indexation et l’adaptation à la durée de travail de 41.6 heures selon la statistique</w:t>
      </w:r>
    </w:p>
    <w:p>
      <w:r>
        <w:t>A/1631/2014 - 17/18 - sur la durée normale de travail (DNT) en 2009, année de la survenance de l’incapacité de travail en tant que femme de chambre, portent ce revenu à CHF 52'446.40 pour un taux d’activité de 100 % et à CHF 47'201.80 pour un taux d’activité de 90 %. En procédant à un abattement de 15 % sur ce revenu, l’intimé est resté dans le cadre de son pouvoir d’appréciation, de sorte que la Cour de céans ne s’en écartera pas. Le revenu invalide, après cette réduction statistique, est ainsi de CHF 40'121.50. S’agissant du revenu sans invalidité, l’intimé n’indique pas sur quels éléments se fonde le revenu sans invalidité retenu de CHF 52'457.- par an. Si l’on se réfère au revenu horaire pour 2001 selon le rapport de l’employeur du 1er juin 2004, il est de CHF 25.60, indemnités pour jours fériés et vacances incluses (soit CHF 22.40 auxquels s’ajoutent 3.6 % et 10.64 %). Indexé à 2009, il s’élève ainsi à CHF 29.10. Annualisé, le revenu sans invalidité serait de CHF 56’896.32, soit CHF 29.10 multipliés par 41.6 heures de travail hebdomadaire puis multipliés par 47 semaines, dès lors qu’une indemnité de vacances de 10.64 % correspond à cinq semaines de vacances (arrêt du Tribunal fédéral 8C_708/2007 du 21 août 2008 consid. 5.5). La comparaison des revenus aboutit ainsi à un degré d’invalidité de 29.48 %, arrondi à 29 %. L'incapacité de travail et l'empêchement dans les activités habituelles entrent tous deux à raison de 50 % dans le calcul du degré global d'invalidité ([29 % x 0.5] + [21 % x 0.5]). Le taux ainsi obtenu est de 25 %, ce qui est insuffisant pour ouvrir le droit à une rente.</w:t>
      </w:r>
    </w:p>
    <w:p>
      <w:r>
        <w:rPr>
          <w:b/>
        </w:rPr>
        <w:t>E. 15</w:t>
      </w:r>
    </w:p>
    <w:p>
      <w:r>
        <w:t>Ce degré d’invalidité est en revanche supérieur au taux dégagé par la jurisprudence pour ouvrir le droit à des mesures d’ordre professionnel. Cependant, le droit à des mesures d'ordre professionnel présuppose une aptitude objective et subjective de la personne assurée (arrêt du Tribunal fédéral 9C_355/2014 du 2 décembre 2014 consid. 6.1). En l’espèce, la recourante a manifesté clairement qu’elle n’entendait pas se soumettre aux mesures d’ordre professionnel envisagées par l’intimé, puisqu’elle a déclaré lors des deux entretiens avec ce dernier qu’elle était trop malade pour travailler. Eu égard à cet élément, l’aptitude subjective de la recourante fait défaut de sorte que de telles mesures paraissent vouées à l’échec. C’est donc à juste titre que l’intimé a refusé leur octroi.</w:t>
      </w:r>
    </w:p>
    <w:p>
      <w:r>
        <w:rPr>
          <w:b/>
        </w:rPr>
        <w:t>E. 16</w:t>
      </w:r>
    </w:p>
    <w:p>
      <w:r>
        <w:t>Eu égard aux éléments qui précèdent, le recours sera rejeté. La procédure n’étant pas gratuite en matière d’assurance-invalidité (art. 69 al. 1bis LAI), l’émolument de CHF 200.- sera mis à la charge de la recourante, qui succombe.</w:t>
      </w:r>
    </w:p>
    <w:p>
      <w:r>
        <w:t>A/1631/2014 - 18/18 -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