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ATAS/30/2011 vom 12. Januar 2009</w:t>
      </w:r>
    </w:p>
    <w:p>
      <w:r>
        <w:t>GE Cour de justice, 2009-01-12, FR</w:t>
      </w:r>
    </w:p>
    <w:p>
      <w:r>
        <w:rPr>
          <w:b/>
        </w:rPr>
        <w:t xml:space="preserve">Quelle: </w:t>
      </w:r>
      <w:r>
        <w:t>https://mcp.opencaselaw.ch/entscheid/ge_gerichte_ATAS_30_2011</w:t>
      </w:r>
    </w:p>
    <w:p>
      <w:r>
        <w:t>FR: GE_GERICHTE ATAS/30/2011 du 12 janvier 2009</w:t>
      </w:r>
    </w:p>
    <w:p>
      <w:r>
        <w:t>IT: GE_GERICHTE ATAS/30/2011 del 12 gennaio 2009</w:t>
      </w:r>
    </w:p>
    <w:p>
      <w:pPr>
        <w:pStyle w:val="Heading2"/>
      </w:pPr>
      <w:r>
        <w:t>Erwägungen</w:t>
      </w:r>
    </w:p>
    <w:p>
      <w:r>
        <w:rPr>
          <w:b/>
        </w:rPr>
        <w:t>E. 1</w:t>
      </w:r>
    </w:p>
    <w:p>
      <w:r>
        <w:t>Jusqu’au 31 décembre 2010,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dispositions de la novelle du 6 octobre 2006 modifiant la LPC et de celle du 13 décembre 2007 modifiant la LPCC, entrées en vigueur le 1er janvier 2008 (RO 2007 6068), sont régies par le même principe et sont donc applicables pour le calcul des prestations postérieures au 31 décembre 2007, comme en l’espèce.</w:t>
      </w:r>
    </w:p>
    <w:p>
      <w:r>
        <w:rPr>
          <w:b/>
        </w:rPr>
        <w:t>E. 3</w:t>
      </w:r>
    </w:p>
    <w:p>
      <w:r>
        <w:t>Interjeté dans les forme et délai prévus par la loi, le recours est recevable (art. 56 ss LPGA).</w:t>
      </w:r>
    </w:p>
    <w:p>
      <w:r>
        <w:rPr>
          <w:b/>
        </w:rPr>
        <w:t>E. 4</w:t>
      </w:r>
    </w:p>
    <w:p>
      <w:r>
        <w:t>Le litige porte sur le droit des recourants à des prestations complémentaires fédérales et cantonales, en particulier sur la question de savoir s’il se justifie de prendre en compte dans le calcul de ces prestations un montant à titre de gain potentiel de M. S__________.</w:t>
      </w:r>
    </w:p>
    <w:p>
      <w:r>
        <w:rPr>
          <w:b/>
        </w:rPr>
        <w:t>E. 5</w:t>
      </w:r>
    </w:p>
    <w:p>
      <w:r>
        <w:t>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w:t>
      </w:r>
    </w:p>
    <w:p>
      <w:r>
        <w:t>A/3619/2010 - 6/10 -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 invalidité ainsi que les indemnités journalières de l’assurance-invalidité (let. d), les rentes, pensions et autres prestations périodiques (let. f), les prestations complémentaires fédérales (let. e) et les ressources dont un ayant droit s’est dessaisi (let. j).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 ATAS/845/2005 du 5 novembre 2005).</w:t>
      </w:r>
    </w:p>
    <w:p>
      <w:r>
        <w:rPr>
          <w:b/>
        </w:rPr>
        <w:t>E. 7</w:t>
      </w:r>
    </w:p>
    <w:p>
      <w:r>
        <w:t>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w:t>
      </w:r>
    </w:p>
    <w:p>
      <w:r>
        <w:t>A/3619/2010 - 7/10 - pendant lequel elle aura été éloignée de la vie professionnelle (ATF 134 V 53 consid. 4.1 et ATF 117 V 290 consid. 3a; VSI 2001 p. 126 consid. 1b, SVR 2007 EL n° 1 p. 1 et RDT 2005 p. 127). b) C’est pour tenir compte de l'évolution du droit matrimonial que le Tribunal fédéral a admis la conformité à la loi de la prise en compte d'un revenu hypothétique du conjoint dans la fixation du revenu déterminant selon la LPC (cf.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du 6 février 2009). c)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d)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w:t>
      </w:r>
    </w:p>
    <w:p>
      <w:r>
        <w:t>A/3619/2010 - 8/10 -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w:t>
      </w:r>
    </w:p>
    <w:p>
      <w:r>
        <w:rPr>
          <w:b/>
        </w:rPr>
        <w:t>E. 8</w:t>
      </w:r>
    </w:p>
    <w:p>
      <w:r>
        <w:t>a) 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âgée de 52 ans, sans formation particulière, qui avait vu réduire son taux d’activité en tant qu’aide soignante et dont les recherches d’un emploi à plein temps, dûment documentées, n’avaient pas abouti, et ce pour des raisons liées au marché du travail. Le Tribunal de céans et le Tribunal fédéral ont confirmé que dans une telle situation, le taux d’activité réduit ne correspondait pas à une renonciation à des ressources, dès lors qu’on ne voyait pas comment l’épouse du bénéficiaire aurait pu parvenir à augmenter son taux d’activité (ATAS/10/2009 ; Arrêt du Tribunal fédéral non publié du 26 novembre 2009, cause 9C_150/2009).</w:t>
      </w:r>
    </w:p>
    <w:p>
      <w:r>
        <w:t>A/3619/2010 - 9/10 -</w:t>
      </w:r>
    </w:p>
    <w:p>
      <w:r>
        <w:rPr>
          <w:b/>
        </w:rPr>
        <w:t>E. 9</w:t>
      </w:r>
    </w:p>
    <w:p>
      <w:r>
        <w:t>En l'espèce, l'intimé a pris en compte un gain potentiel pour M. S__________ dès le 1er juin 2010 correspondant à une activité de nettoyeur à 100 % (salaire moyen). Il a considéré que l'avis du Dr A_________ ne permettait pas de remettre en cause la capacité de travail admise par l'OAI et que suite au processus de réinsertion dont avait bénéficié M. S__________ un emploi dans l'économie libre était exigible. Il est à constater que par décision du 4 avril 2007, l'OAI a rejeté la nouvelle demande de prestations de M. S__________ en constatant que celui-ci présentait un degré d'invalidité de 30 %. Il lui était ainsi reconnu une capacité de travail, dans une activité adaptée, de 70 %. Par la suite, M. S__________ a bénéficié d'une mesure d'orientation professionnelle, laquelle a débouché sur un stage, d'abord auprès de la Fondation Trajet puis auprès de REALISE, lesquels ont été interrompu en raison de l'état de santé de M. S__________ (douleurs). Il ressort du dossier AI que tant le représentant de la Fondation Trajet que celui de l'OAI (coordinateur emploi) ont considéré que seul un emploi à temps partiel en atelier protégé était concrètement exigible. Le 10 juillet 2007, le rapport du secteur placement de l'OAI a d'ailleurs conclu à une telle exigibilité (activité manuelle légère à temps partiel en milieu protégé). Concrètement, M. S__________ n'a jamais terminé le stage en atelier que ce soit auprès de la Fondation Trajet ou auprès de REALISE, alors même que l'OAI a reconnu qu'il avait présenté une motivation et une collaboration sans faille. Au vu de ce qui précède, on ne saurait exiger de M. S__________ qu'il exerce dans le milieu économique normal une activité à 100 %. D'une part, l'OAI lui-même lui a reconnu une capacité de travail à 70 %, d'autre part, son service du placement a exclu qu'une activité dans le milieu économique normal soit en l'état exigible, notamment au vu de l'éloignement de M. S__________ depuis de nombreuses années du monde professionnel mais aussi de son état de santé. En conséquence, seule une activité à 70 % en atelier protégé est actuellement exigible de la part de M. S__________. Enfin, cette conclusion va également dans le sens du certificat du Dr A_________ du 17 novembre 2010 selon lequel son patient est motivé pour retrouver une activité professionnelle adaptée à ses possibilités, dans un cadre protégé.</w:t>
      </w:r>
    </w:p>
    <w:p>
      <w:r>
        <w:rPr>
          <w:b/>
        </w:rPr>
        <w:t>E. 10</w:t>
      </w:r>
    </w:p>
    <w:p>
      <w:r>
        <w:t>Ainsi, le recours sera partiellement admis et la décision litigieuse annulée, la cause étant renvoyée à l'intimé pour nouvelle décision, en prenant en compte un gain potentiel pour M. S__________ équivalant depuis le 1er juin 2010 à une activité exercée à 70 % en atelier protégé.</w:t>
      </w:r>
    </w:p>
    <w:p>
      <w:r>
        <w:t>A/3619/2010 - 10/10 -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