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ATAS/309/2021 vom 6. April 2021</w:t>
      </w:r>
    </w:p>
    <w:p>
      <w:r>
        <w:t>GE Cour de justice, 2021-04-06, FR</w:t>
      </w:r>
    </w:p>
    <w:p>
      <w:r>
        <w:rPr>
          <w:b/>
        </w:rPr>
        <w:t xml:space="preserve">Quelle: </w:t>
      </w:r>
      <w:r>
        <w:t>https://mcp.opencaselaw.ch/entscheid/ge_gerichte_ATAS_309_2021</w:t>
      </w:r>
    </w:p>
    <w:p>
      <w:r>
        <w:t>FR: GE_GERICHTE ATAS/309/2021 du 6 avril 2021</w:t>
      </w:r>
    </w:p>
    <w:p>
      <w:r>
        <w:t>IT: GE_GERICHTE ATAS/309/2021 del 6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la capacité de travail de la recourante et le droit à une rente pour la période du 1er janvier 2015 au 30 avril 2016 et au-delà du 31 octobre 2016.</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A/1346/2020 - 13/22 -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A/1346/2020 - 14/22 -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w:t>
      </w:r>
    </w:p>
    <w:p>
      <w:r>
        <w:t>A/1346/2020 - 15/22 - la valeur probante du rapport du médecin concerné et, par conséquent, la violation du principe mentionné (arrêt du Tribunal fédéral 9C/973/2011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f.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w:t>
      </w:r>
    </w:p>
    <w:p>
      <w:r>
        <w:t>A/1346/2020 - 16/22 -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w:t>
      </w:r>
    </w:p>
    <w:p>
      <w:r>
        <w:t>A/1346/2020 - 17/22 - demander un complément à l'expert (ATF 137 V 210 consid. 4.4.1.3 et 4.4.1.4; SVR 2010 IV n. 49 p. 151, consid. 3.5; arrêt du Tribunal fédéral 8C_760/2011 du 26 janvier 2012 consid. 3).</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l’intimé a retenu une incapacité de travail de 50% du 1er au 31 décembre 2012 et de 100% du 1er septembre 2013 au 31 mars 2015 et du 1er mai au 31 octobre 2016, considérant qu'entre ces périodes et à partir du 1er novembre 2016, la recourante avait récupéré une pleine capacité de travail dans toute activité, avec une baisse de rendement de deux heures par jour. Il s’est fondé sur la détermination du SMR, elle-même basée sur le rapport d'expertise du 4 juin 2019 et des rapports médicaux au sujet des interventions chirurgicales. La recourante allègue, quant à elle, présenter une incapacité de travail entière et durable dans toute activité et se réfère à cet égard aux rapports de ses médecins, ainsi que des EPI.</w:t>
      </w:r>
    </w:p>
    <w:p>
      <w:r>
        <w:rPr>
          <w:b/>
        </w:rPr>
        <w:t>E. 12</w:t>
      </w:r>
    </w:p>
    <w:p>
      <w:r>
        <w:t>a. En l'occurrence, en rendant sa décision initiale du 25 octobre 2017, l'intimé s'était fondé, à l'époque, sur la détermination du 23 novembre 2016 du SMR, elle-même basée sur le rapport des EPI, pour retenir un degré d'invalidité de 50%. La chambre de céans avait alors annulé cette décision en raison du fait que l'intimé n'avait pas pris en compte plusieurs périodes d'incapacité totale entre le 19 septembre 2013 et le 12 septembre 2016, en lien avec les opérations subies par la recourante, et s'était fondé sur un dossier incomplet, dépourvu de documents disposant d'une valeur suffisante pour retenir un simple degré d'invalidité de 50% sur toute cette période. Dans le cadre de l'actuelle procédure, la Dresse F______ a réalisé, à la demande de l'intimé, une expertise neurochirurgicale le 3 avril 2019. Au terme de son analyse, elle est arrivée à la conclusion claire que la capacité de travail de la recourante était entière dans son activité habituelle de directrice – activité principalement administrative – avec une baisse de rendement d'une heure le matin et d'une heure l'après-midi, afin de lui permettre d'aménager des pauses en fonction des douleurs, qui sont estimées par l'experte pour une patiente qui ne prend pas de médicaments de manière régulière. L'activité adaptée aux aptitudes de la recourante est, selon l'experte, caractérisée par une position alternée (assis/ debout), pas de port de poids de charge de plus de cinq kilos, pas de flexion ou rotation de la</w:t>
      </w:r>
    </w:p>
    <w:p>
      <w:r>
        <w:t>A/1346/2020 - 18/22 - colonne dorsolombaire de façon répétitives et pas de travaux nécessitant le changement de la position accroupi / debout de façon répétitive. La Dresse F______ a en particulier mis en évidence les multiples ressources de la recourante et le fait que celle-ci ne prend pratiquement plus de médication pour le dos. b. La chambre de céans constate d'emblée que l'expertise n'indique pas expressément quelle était la capacité de travail de la recourante précédemment à l'examen effectué par l'experte, puisque cette dernière s'est contentée d'évoquer une stabilisation au niveau lombaire une année après la dernière intervention chirurgicale lombaire et, au niveau cervical, six mois post-opératoire. Ainsi, l'expertise ne dispose pas de valeur probante pour la période antérieure à sa réalisation. Il convient donc d'examiner la capacité de travail pour cette période, soit du 1er septembre 2013 au 31 mars 2019. S'agissant des périodes opératoires et post opératoires, le SMR a justement estimé qu'en raison des interventions chirurgicales des 20 novembre 2013, 31 janvier 2014 et 19 mai 2016, la capacité de travail était nulle du 1er septembre 2013 au 31 décembre 2014 et du 1er mai au 31 octobre 2016. Cette constatation rejoint d'ailleurs la position qu'avait retenu à l'époque la chambre de céans à l'égard de la recourante (cf. ATAS/912/2018). En revanche, le SMR a estimé que, entre et à la suite de ces périodes d'incapacité totale, c'est-à-dire du 1er janvier 2015 au 30 avril 2016 et dès le 1er novembre 2016, la capacité de travail était entière. Ce faisant, il s'est prononcé sur la capacité de travail de la recourante antérieurement à la réalisation de l'expertise, sans se fonder sur aucun document médical, puisque l'experte ne s'est pas expressément prononcée sur la capacité de travail pour la période précédant son examen. Or, à l'époque, le SMR avait lui- même retenu une capacité de travail de 50% (cf. avis du 23 novembre 2016) en se fondant en particulier sur le rapport d'observation aux EPI, qui avait mis en évidence les difficultés rencontrées en 2016 par la recourante. Il ressort d'ailleurs de l'ATAS/912/2018 que seule demeurait litigieuse la question de savoir si la capacité de travail était inférieure à 50%, puisque l'intimé avait reconnu une incapacité de 50% sur toute la période litigieuse, alors que la recourante alléguait une incapacité totale. Certes, les pièces de l'époque ne permettaient pas de déterminer si la capacité de travail était inférieure à 50%, en revanche tous les éléments au dossier démontraient qu'on ne pouvait exiger de la recourante une capacité allant au-delà de 50%. Cette position est d'ailleurs confirmée par le comportement de l'intimé, qui a versé, durant toute cette période, une demi-rente à la recourante, alors même qu'aucune décision n'est encore entrée en force sur son droit à la rente. Enfin, il apparait d'autant plus improbable que la recourante ait disposé d'une capacité de travail entière du 1er janvier 2015 au 31 mars 2016, puisqu'elle a encore subi une intervention chirurgicale au mois de mai 2016.</w:t>
      </w:r>
    </w:p>
    <w:p>
      <w:r>
        <w:t>A/1346/2020 - 19/22 - On ne comprend ainsi pas pourquoi le SMR s'écarte de son propre avis de l'époque, ainsi que du cadre fixé par le précédent arrêt de la chambre de céans, ce d'autant plus qu'il ne donne aucune explication et que l'expertise ne se prononce pas sur la capacité de travail antérieure. Or, en procédant de la sorte, il a non seulement apprécié différemment un même état de fait, mais il a surtout posé de nouvelles conclusions, alors qu'il doit se limiter à apprécier celles déjà existantes (cf. arrêt du Tribunal fédéral 9C_518/2007 du 14 juillet 2008 consid. 3.2 et références citées). Force est ainsi de constater que l'intimé ne pouvait se fonder sur les nouvelles conclusions du SMR retenant une capacité de travail entière, avec baisse de rendement de deux heures par jour, déjà du 1er janvier 2015 au 30 avril 2016 et du 1er novembre 2016 au 31 mars 2019. c. La chambre de céans relève en revanche que dès avril 2019, soit dès le moment où l'expertise a été réalisée, l'expertise a pleine valeur probante. En effet, l'experte a procédé à un examen complet de la recourante et s'est appuyée sur l'entier du dossier, dont les rapports des médecins, et un entretien approfondi, de sorte qu'on ne peut que constater que son expertise se base sur un dossier bien étayé. Une anamnèse fouillée a été réalisée et les plaintes de la recourante ont été prises en compte. L'experte a donné une appréciation détaillée et convaincante de l'état de santé et de la capacité de travail de la recourante au moment de son examen clinique. L'expertise, qui respecte tous les réquisits prévus par la jurisprudence en matière de valeur probante, a ainsi mis en évidence une nette amélioration de l'état de santé de la recourante dès avril 2019. Il convient donc de suivre les conclusions de l'expertise s'agissant de la période à compter de laquelle celle-ci a été réalisée (cf. voir dans le même sens, notamment, l'ATAS/1081/2011). d. Lorsqu'une appréciation repose sur une évaluation médicale complète, comme celle de la Dresse F______,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les récents rapports des Drs G______ et H______ n'apportent aucun élément médical objectif nouveau et pertinent. Le Dr H______, dont il faut rappeler qu'il est médecin généraliste et non spécialiste, ne fait que retracer l'historique médical de la recourante et émettre son propre avis. Quant au Dr G______, il a estimé qu'il y avait peu de déficit neurologique objectif et que la capacité de travail était avant tout liée aux douleurs. Les médecins traitants se sont ainsi livrés à une appréciation divergente de la capacité de travail de la recourante, sans faire état</w:t>
      </w:r>
    </w:p>
    <w:p>
      <w:r>
        <w:t>A/1346/2020 - 20/22 - d'éléments objectifs qui pourraient avoir été ignorés, de sorte que leur point de vue ne saurait prévaloir celui de l'experte. L'argumentation de la recourante ne permet pas non plus de mettre en doute les conclusions de l'expertise. Contrairement à ce qu'elle prétend, la question des douleurs et de la médication a bel et bien été traitée par l'experte puisqu'il ressort du rapport d'expertise que la recourante ne prend plus que rarement des médicaments pour le dos, ce qui a d'ailleurs été confirmé par examen sanguin. Or, selon une jurisprudence du Tribunal fédéral, le fait qu'un assuré ait dû prendre des médicaments pour éviter des douleurs diffuses, ne constitue pas la preuve d'une incapacité de travail, l'assuré étant tenu de recourir à l'offre thérapeutique dans le cadre de l'obligation de réduire le dommage dans l'assurance-invalidité (cf. arrêt du Tribunal fédéral 9C_967/2008 du 5 janvier 2009 consid. 5.2.3; ATF 113 V 22, consid. 4a). Le même raisonnement s'applique en ce qui concerne des traitements de physiothérapie ou des exercices qui pourraient être bénéfique contre les maux de dos, que la recourante a pourtant déclaré exclure. L'experte a également mis en évidence certaines incohérences entre les déclarations de la recourante et ses constatations objectives lors de l'examen clinique. Elle a notamment été surprise par le bon état musculaire, qui contrastait, selon elle, avec les informations données par la recourante, et constaté une absence d'allodynie ou d'atteinte neuropathique, souvent décrite chez les patients avec des douleurs chroniques. Il ressort également de l'expertise que la recourante s'est montrée très précise sur certains sujets mais est restée quelque peu floue concernant sa journée type et ses activités actuelles ; elle a eu des difficulté à clarifier sa médication qui était pourtant simple et a indiqué que son état était toujours le même depuis 2013, alors même qu'elle avait encore été opérée en 2016 à la colonne cervicale ; enfin, elle a décrit à l'experte une vie plutôt agréable, s'occupant à sa guise tout au long de la journée, et a déclaré désirer la rente assurance-invalidité afin de ne plus être une charge pour sa mère, dont elle dépend financièrement. Enfin, il ressort du dossier que la recourante maitrise parfaitement le français, dispose d'une formation supérieure et d'une expérience de travail de quelques années à un poste à responsabilité dans l'administration et la finance, préside un club de hockey dans la région anglophone du Canada, avec des connaissances linguistiques et sportives y afférentes, et a de très bonnes capacités d'interaction sociale. Elle dispose donc de solides ressources lui permettant d'exercer une activité administrative dans le tertiaire, telle que l'était celle de directrice d'établissement.</w:t>
      </w:r>
    </w:p>
    <w:p>
      <w:r>
        <w:rPr>
          <w:b/>
        </w:rPr>
        <w:t>E. 13</w:t>
      </w:r>
    </w:p>
    <w:p>
      <w:r>
        <w:t>Au vu de ce qui précède, la chambre de céans constate que la capacité de travail était nulle du 1er septembre 2013 au 31 décembre 2014 et du 1er mai au 31 octobre 2016, et de 50% du 1er janvier 2015 au 30 avril 2016, ainsi que du 1er novembre 2016 au 31 mars 2019. En revanche, dès le 1er avril 2019, la recourante doit être considérée comme apte à exercer à plein temps toute activité administrative, y compris son activité habituelle, avec une baisse de rendement d'une heure le matin</w:t>
      </w:r>
    </w:p>
    <w:p>
      <w:r>
        <w:t>A/1346/2020 - 21/22 - et d'une heure l'après-midi afin de lui permettre d'aménager des pauses en fonction des douleurs. Par appréciation anticipée des preuves (ATF 140 I 285 consid. 6.3.1), il sera renoncé à une audition des médecins comme requise par la recourante, la chambre de céans disposant de suffisamment d'éléments au dossier pour se prononcer en connaissance de cause.</w:t>
      </w:r>
    </w:p>
    <w:p>
      <w:r>
        <w:rPr>
          <w:b/>
        </w:rPr>
        <w:t>E. 14</w:t>
      </w:r>
    </w:p>
    <w:p>
      <w:r>
        <w:t>Compte tenu de ce qui précède, le recours est partiellement admis, la décision du 12 mars 2020 annulée et la cause renvoyée à l'intimé pour nouvelle décision dans le sens des considérants.</w:t>
      </w:r>
    </w:p>
    <w:p>
      <w:r>
        <w:rPr>
          <w:b/>
        </w:rPr>
        <w:t>E. 15</w:t>
      </w:r>
    </w:p>
    <w:p>
      <w:r>
        <w:t>Vu l'issue du litige, une indemnité de CHF 2'000.- sera accordée au recourant à titre de participation à ses frais et dépens (art. 61 let. g LPGA ; art. 6 du règlement sur les frais, émoluments et indemnités en procédure administrative du 30 juillet 1986 [RFPA - E 5 10.03]), à la charge de l'intimé. Etant donné que depuis le 1er juillet 2006 la procédure n'est plus gratuite (art. 69 al. 1bis LAI), au vu du sort du recours, il y a lieu de condamner l'intimé au paiement d'un émolument de CHF 200.-.</w:t>
      </w:r>
    </w:p>
    <w:p>
      <w:r>
        <w:t>A/1346/2020 - 22/22 -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