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ATAS/309/2013 vom 27. März 2013</w:t>
      </w:r>
    </w:p>
    <w:p>
      <w:r>
        <w:t>GE Cour de justice, 2013-03-27, FR</w:t>
      </w:r>
    </w:p>
    <w:p>
      <w:r>
        <w:rPr>
          <w:b/>
        </w:rPr>
        <w:t xml:space="preserve">Quelle: </w:t>
      </w:r>
      <w:r>
        <w:t>https://mcp.opencaselaw.ch/entscheid/ge_gerichte_ATAS_309_2013</w:t>
      </w:r>
    </w:p>
    <w:p>
      <w:r>
        <w:t>FR: GE_GERICHTE ATAS/309/2013 du 27 mars 2013</w:t>
      </w:r>
    </w:p>
    <w:p>
      <w:r>
        <w:t>IT: GE_GERICHTE ATAS/309/2013 del 27 marzo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Le recours respecte le délai de 30 jours prescrit par l'art. 60 LPGA.</w:t>
      </w:r>
    </w:p>
    <w:p>
      <w:r>
        <w:t>A/2772/2012 - 9/14 - b) Quant à la forme, l’art. 61 LPGA dispose que la procédure devant le tribunal cantonal des assurances est, sous réserve de l’art. 1er al. 3 de la loi fédérale du 20 décembre 1968 sur la procédure administrative, réglée par le droit cantonal. Elle doit notamment être simple et rapide (let. a).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(let. b). Si le juge qui est saisi d’un recours ne doit pas se montrer strict lorsqu’il apprécie la forme et le contenu de l’acte de recours, l’intéressé doit néanmoins manifester clairement et par écrit sa volonté d’en obtenir la modification ; à défaut, l’écriture qu’il produit ne peut être considérée comme une déclaration de recours (ATF 116 V 356 consid. 2b et les références ; ATFA non publié du 28 janvier 2003, I 501/02 consid. 2.2). En particulier, il n’appartient pas à une autorité cantonale de recours de faire des recherches dans les pièces du dossier pour déterminer, notamment, quel est l’objet du litige et de quoi pourrait se plaindre l’intéressé (ATF 123 V 336 consid. 1a ; cf. ATFA non publié du 17 décembre 2002, U 292/02, consid. 4). En l'espèce, le recourant a motivé son recours par le fait que son état de santé ne s'était pas amélioré suite aux accidents subis. En s'opposant à la décision querellée qui lui refuse une rente d'invalidité et limite la prise en charge des frais médicaux par l'assureur-accidents, il doit être admis qu'il conclut implicitement à l'octroi d'une rente et des prestations médicales sans limite. Il est également à relever que le recourant se réfère implicitement à son opposition, dans la mesure où il a joint une copie de celle-ci à son recours. Il y fait notamment valoir qu'il ne peut plus travailler dans le bâtiment, selon le Dr A__________, ne pouvant pas porter des charges de plus de 5 kg. Cela étant, il convient de constater que le recours comporte une motivation et des conclusions suffisantes, de sorte qu'il est recevable à la forme.</w:t>
      </w:r>
    </w:p>
    <w:p>
      <w:r>
        <w:rPr>
          <w:b/>
        </w:rPr>
        <w:t>E. 3</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w:t>
      </w:r>
    </w:p>
    <w:p>
      <w:r>
        <w:t>A/2772/2012 - 10/14 -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b) En l'occurrence, le recourant ne s'est opposé à la décision du 4 janvier 2012 qu'en ce qu'elle concerne l'accident du 23 février 2010. En effet, ce n'est que cet évènement qu'il a mentionné en marge de son opposition du 27 janvier 2012. Partant la décision sur opposition n'a pas porté sur le traitement médical pour les séquelles du premier accident. Néanmoins, l'évaluation de la capacité de travail doit tenir compte également d'éventuelles limitations dues aux accidents antérieurs. L'objet du litige est donc la question de savoir si le recourant subit une invalidité lui ouvrant le droit à une rente, en rapport avec les accidents survenus, et dans quelle mesure il peut encore prétendre à la prise en charge des frais médicaux pour le traitement des séquelles du dernier accident.</w:t>
      </w:r>
    </w:p>
    <w:p>
      <w:r>
        <w:rPr>
          <w:b/>
        </w:rPr>
        <w:t>E. 4</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5</w:t>
      </w:r>
    </w:p>
    <w:p>
      <w:r>
        <w:t>Selon l'art. 18 al. 1er LAA, si l’assuré est invalide (art. 8 LPGA) à 10 % au moins par suite d’un accident, il a droit à une rente d’invalidité.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t>A/2772/2012 - 11/14 -</w:t>
      </w:r>
    </w:p>
    <w:p>
      <w:r>
        <w:rPr>
          <w:b/>
        </w:rPr>
        <w:t>E. 6</w:t>
      </w:r>
    </w:p>
    <w:p>
      <w:r>
        <w:t>Selon l'art. 10 al. 1 LAA, l'assuré a droit au traitement médical approprié des lésions résultant de l'accident. En principe, le traitement médical est généralement appliqué et accordé à l'assuré jusqu'à la fixation de la rente d'invalidité (art. 19 al. 1 LAA, a contrario). Lorsque la rente a été fixée, les prestations pour soins et remboursement de frais (art. 10 à 13 LAA) sont accordées à son bénéficiaire aux conditions énumérées à l'art. 21 al. 1 LAA (à savoir : let. a lorsqu'il souffre d'une maladie professionnelle; let. b lorsqu'il souffre d'une rechute ou de séquelles tardives et que des mesures médicales amélioreraient notablement sa capacité de gain ou empêcheraient une notable diminution de celle-ci; let. c lorsqu'il a besoin de manière durable d'un traitement et de soins pour conserver sa capacité résiduelle de gain; let. d lorsqu'il présente une incapacité de gain et que des mesures médicales amélioreraient notablement son état de santé ou empêcheraient que celui- ci ne subisse une notable détérioration. Ainsi, les conditions du droit à la prise en charge des frais de traitement médical diffèrent selon que l'assuré est ou n'est pas au bénéfice d'une rente (ATF 116 V 45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non publié du 17 juin 2002, U 252/01 consid 2a).</w:t>
      </w:r>
    </w:p>
    <w:p>
      <w:r>
        <w:rPr>
          <w:b/>
        </w:rPr>
        <w:t>E. 7</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A/2772/2012 - 12/14 -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w:t>
      </w:r>
    </w:p>
    <w:p>
      <w:r>
        <w:rPr>
          <w:b/>
        </w:rPr>
        <w:t>E. 9</w:t>
      </w:r>
    </w:p>
    <w:p>
      <w:r>
        <w:t>a) En l'espèce, le médecin d'arrondissement de l'intimée, le Dr D__________, a constaté, dans son rapport d'examen final du 5 août 2011, que la situation médicale était stabilisée et que le recourant avait une capacité de travail totale dans une activité adaptée, ne comportant pas de port de charges moyennes à lourdes ni nécessitant force de serrage ou outils de frappe.</w:t>
      </w:r>
    </w:p>
    <w:p>
      <w:r>
        <w:t>A/2772/2012 - 13/14 - Ce rapport a été rendu en pleine connaissance du dossier médical, prend en compte les plaintes du recourant et repose sur un examen approfondi. Partant, il sied de lui accorder en principe une pleine valeur probante. Les conclusions du médecin d'arrondissement de l'intimé sont par ailleurs confirmées par le médecin traitant, le Dr A__________. En effet, lors d'un entretien de ce praticien avec l'intimée en date du 17 mai 2011 et dans son rapport du 14 juillet 2011, celui-ci a admis que la situation était stabilisée et que le recourant pourrait reprendre une activité adaptée avec un rendement de 100%. L'algodystrophie était guérie. Par conséquent, il n'y a aucun motif de s'écarter des conclusions du Dr D__________, de sorte qu'il convient de retenir une capacité de travail totale dans une activité adaptée. b) Le recourant ne met pas en cause le calcul de la perte de gain réalisé par l'intimée. S'agissant de la différence entre les indemnités de chômage et le salaire précédemment perçu, elle ne peut être prise en considération par l'assureur- accidents, celui-ci devant uniquement compenser la différence supérieure ou égale à 10% entre le salaire sans invalidité et celui que l'assuré pourrait réaliser avec l'invalidité, mais non pas les indemnités de chômage, même si l'assuré a dû abandonner l'ancienne activité pour des raisons de santé. Le droit à une rente d'invalidité n'est ainsi pas ouvert, la perte de gain étant inférieure à 10%, selon ce calcul. Ainsi, l'intimée était fondée de refuser cette prestation.</w:t>
      </w:r>
    </w:p>
    <w:p>
      <w:r>
        <w:rPr>
          <w:b/>
        </w:rPr>
        <w:t>E. 10</w:t>
      </w:r>
    </w:p>
    <w:p>
      <w:r>
        <w:t>Concernant les prestations médicales, il y a lieu de rappeler que le Dr A__________ a certifié le 14 juillet 2011 que le traitement était terminé. On ne voit par ailleurs pas quel traitement pourrait encore améliorer les séquelles de l'accident du 23 février 2010, à part des antalgiques. Par conséquent, des contrôles occasionnels une ou deux fois par an paraissent amplement suffisants, de sorte que la décision querellée doit également être confirmée sur ce point.</w:t>
      </w:r>
    </w:p>
    <w:p>
      <w:r>
        <w:rPr>
          <w:b/>
        </w:rPr>
        <w:t>E. 11</w:t>
      </w:r>
    </w:p>
    <w:p>
      <w:r>
        <w:t>Cela étant, le recours sera rejeté.</w:t>
      </w:r>
    </w:p>
    <w:p>
      <w:r>
        <w:rPr>
          <w:b/>
        </w:rPr>
        <w:t>E. 12</w:t>
      </w:r>
    </w:p>
    <w:p>
      <w:r>
        <w:t>La procédure est gratuite.</w:t>
      </w:r>
    </w:p>
    <w:p>
      <w:r>
        <w:t>A/2772/2012 - 14/14 -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