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ATAS/309/2009 vom 29. Juni 2007</w:t>
      </w:r>
    </w:p>
    <w:p>
      <w:r>
        <w:t>GE Cour de justice, 2007-06-29, FR</w:t>
      </w:r>
    </w:p>
    <w:p>
      <w:r>
        <w:rPr>
          <w:b/>
        </w:rPr>
        <w:t xml:space="preserve">Quelle: </w:t>
      </w:r>
      <w:r>
        <w:t>https://mcp.opencaselaw.ch/entscheid/ge_gerichte_ATAS_309_2009</w:t>
      </w:r>
    </w:p>
    <w:p>
      <w:r>
        <w:t>FR: GE_GERICHTE ATAS/309/2009 du 29 juin 2007</w:t>
      </w:r>
    </w:p>
    <w:p>
      <w:r>
        <w:t>IT: GE_GERICHTE ATAS/309/2009 del 29 giugno 2007</w:t>
      </w:r>
    </w:p>
    <w:p>
      <w:pPr>
        <w:pStyle w:val="Heading2"/>
      </w:pPr>
      <w:r>
        <w:t>Erwägungen</w:t>
      </w:r>
    </w:p>
    <w:p>
      <w:r>
        <w:rPr>
          <w:b/>
        </w:rPr>
        <w:t>E. 12</w:t>
      </w:r>
    </w:p>
    <w:p>
      <w:r>
        <w:t>décembre 2007 qu’il serait nécessaire d’avoir un status détaillé, tant de la part du Dr N_________ que du médecin traitant; Qu’interrogé par le Tribunal de céans, le Dr N_________ a répondu par courrier du 28 février 2008; Qu’interrogé à son tour, le Dr L_________ a également répondu en date du 10 mars 2008; Que par courrier du 19 mars 2008, le recourant, se basant sur les réponses des deux médecins, a amplifié les conclusions de son recours, en demandant à ce qu’il soit constaté qu’il est invalide à 70% au moins; Que l’intimé a pour sa part fait valoir, par courrier du 3 avril 2008, qu’au vu des éléments médicaux succincts et des contradictions qu’ils comportaient, il conviendrait de procéder à une évaluation rhumatologique précise; Qu’en date du 26 juin 2008, le Tribunal de céans a ordonné la mise sur pied d’une expertise rhumatologique, qu’il a confiée au Dr O_________, spécialiste FMH en rhumatologie; Que le rapport de ce dernier, daté du 29 octobre 2008, a été communiqué aux parties; Que le recourant, par courrier du 3 décembre 2008, a contesté pouvoir travailler à mi- temps et a persisté pour le surplus dans ses conclusions;</w:t>
      </w:r>
    </w:p>
    <w:p>
      <w:r>
        <w:t>- 3/6-</w:t>
      </w:r>
    </w:p>
    <w:p>
      <w:r>
        <w:t>A/3233/2007 Que pour sa part, l’intimé, après avoir soumis le dossier du recourant au service médical régional AI (SMR), qualifiant les conclusions du Dr O_________ de contradictoires et son argumentation d’insuffisante, a émis l’opinion qu’il n’existait, sur le plan physique, aucune aggravation de l’état de santé du recourant; Qu’il a en revanche suggéré que dans la mesure où un trouble somatoforme douloureux chronique avait été évoqué, il soit procédé à une évaluation psychiatrique afin de déterminer s’il y a eu aggravation de l’état psychique du recourant ou apparition d’une nouvelle atteinte depuis mars 2007; Que le recourant, par écriture, du 22 janvier 2009, a indiqué ne pas s’opposer à une telle évaluation; Qu’en application de l’art. 39 de la loi sur la procédure administrative (LPA), un délai de 10 jours a été accordé aux parties pour faire valoir d'éventuels motifs de récusation de l’expert et se déterminer sur les questions posées à ce dernier; Qu’à l’issue de ce délai, les parties ont indiqué qu’elles n’avaient aucun motif de récusation à faire valoir à l’encontre du Dr P_________ et aucune question à rajouter.</w:t>
      </w:r>
    </w:p>
    <w:p>
      <w:r>
        <w:t>CONSIDERANT EN DROIT Que la question préalable à l’examen d’éventuelles prestations de l’AI à résoudre est de savoir si le recourant souffre ou non d'une atteinte à la santé invalidante; Que l’autorité administrative doit constater d’office les faits déterminants, c’est-à-dire toutes les circonstances dont dépend l’application des règles de droit (ATF 117 V 261 consid. 3 p. 263 ; T. LOCHER Grundriss des Sozialversicherungsrecht, Bern 1994, t.1,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Que de son côté le juge qui considère que les faits ne sont pas suffisamment élucidés peut renvoyer la cause à l’administration pour complément d’instruction ou procéder lui-même à une telle instruction complémentaire (RAMA 1993 p. 136);</w:t>
      </w:r>
    </w:p>
    <w:p>
      <w:r>
        <w:t>- 4/6-</w:t>
      </w:r>
    </w:p>
    <w:p>
      <w:r>
        <w:t>A/3233/2007 Qu’en matière d’AI la première solution est en principe préférée, à moins que les parties ne soient d’accord avec la seconde, comme en l’espèce (ATFA I 431/02 du 8 novembre 2002); Qu’il convient d’ordonner une telle expertise, laquelle sera confiée au Dr P_________;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