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ATAS/308/2020 vom 27. April 2020</w:t>
      </w:r>
    </w:p>
    <w:p>
      <w:r>
        <w:t>GE Cour de justice, 2020-04-27, FR</w:t>
      </w:r>
    </w:p>
    <w:p>
      <w:r>
        <w:rPr>
          <w:b/>
        </w:rPr>
        <w:t xml:space="preserve">Quelle: </w:t>
      </w:r>
      <w:r>
        <w:t>https://mcp.opencaselaw.ch/entscheid/ge_gerichte_ATAS_308_2020</w:t>
      </w:r>
    </w:p>
    <w:p>
      <w:r>
        <w:t>FR: GE_GERICHTE ATAS/308/2020 du 27 avril 2020</w:t>
      </w:r>
    </w:p>
    <w:p>
      <w:r>
        <w:t>IT: GE_GERICHTE ATAS/308/2020 del 27 aprile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au-delà du 31 juillet 2016.</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w:t>
      </w:r>
    </w:p>
    <w:p>
      <w:r>
        <w:t>A/4335/2018 - 10/16 -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A/4335/2018 - 11/16 -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d. Un rapport du SMR a pour fonction d'opérer la synthèse des renseignements médicaux versés au dossier, de prendre position à leur sujet et de prodiguer des</w:t>
      </w:r>
    </w:p>
    <w:p>
      <w:r>
        <w:t>A/4335/2018 - 12/16 -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A/4335/2018 - 13/16 -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t>A/4335/2018 - 14/16 -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13</w:t>
      </w:r>
    </w:p>
    <w:p>
      <w:r>
        <w:t>a. En l’occurrence, l’intimé a considéré que la recourante était totalement incapable de travailler du 1er janvier 2014 jusqu’au 30 avril 2016, dans toute activité et capable, dès le 1er mai 2016 d’exercer une activité à 100 %, adaptée à ses limitations fonctionnelles, soit sans port de charges de plus de 5 kg, sans mouvements répétitif ou en force avec les mains et poignets et sans mouvements au-dessus de l’horizontale. La recourante conteste être totalement capable de travailler dans une activité adaptée dès le 1er mai 2016. La chambre de céans constate cependant que les rapports médicaux des médecins traitants de la recourante ne permettent pas d’exclure une capacité de travail totale de celle-ci dans une activité adaptée à ses limitations fonctionnelles, telle que retenue par l’intimé. Le Dr L______ a attesté d’une capacité de travail nulle de la recourante comme femme de ménage mais a réservé la possibilité d’une capacité de travail dans une activité adaptée aux limitations fonctionnelles (mobilité limitée du fait des raideurs et douleurs articulaires – avis des 1er octobre 2018 et 21 janvier 2019). Sa position rejoint ainsi celle du SMR. Il en est de même de celle du Dr I______, lequel a même considéré que la recourante était capable de travailler à 100 % dans toute activité, sans port de charge supérieures à 10 kg (rapport du 1er mai 2019). La Dresse M______ a également estimé qu’une activité adaptée était possible, moyennant une reprise progressive, sans toutefois discuter la date du début de l’aptitude à la réadaptation. Elle évoque des limitations fonctionnelles (limitation de la mobilité des poignets et des mains, pas de port de charges lourdes, pas d’activité demandant des performances physiques élevées en terme d’effort et de durée – rapport du 2 août 2019), lesquels ont été reprises par le SMR dans l’évaluation de la capacité de travail exigible de la recourante depuis mai 2016 (avis du SMR du 13 mars 2020). Il en est de même de la position des Drs O______ et N______, lesquels ont mentionné des limitations fonctionnelles (douleurs ostéoarticulaires, diminution de l’amplitude articulaire des coudes, des épaules, des poignets, avec diminution de la force de saisie, pas de port de lourdes charges ni de performance physique élevée – rapport du 7 février 2020) qui ont été prises en compte par le SMR (avis du 13 mars 2020).</w:t>
      </w:r>
    </w:p>
    <w:p>
      <w:r>
        <w:t>A/4335/2018 - 15/16 - Au vu de ce qui précède, aucun élément médical probant n’a été amené par les médecins traitants précités qui permettraient de mettre en doute une capacité de travail totale de la recourante dans une activité adaptée à ses limitations fonctionnelles, dès le 1er mai 2016. L’affirmation qu’une reprise de travail n’est envisagée que de manière progressive en août 2019 ou que la recourante ne peut pas exercer une activité adaptée à 100 % (sans même se déterminer sur une éventuelle capacité de travail partielle exigible) ne suffit pas à remettre en cause la capacité de travail retenue par le SMR. Certes, le Dr H______ considère que la recourante est totalement incapable de travailler (rapports des 10 janvier 2019 et 9 mai 2019), au motif que le traitement médicamenteux entraine des effets secondaires (céphalées, nausées, vertiges, fatigue générale, douleurs musculo-articulaires, manque de concentration, obnubilation et troubles sensoriels). Cependant, les médecins spécialistes du centre du sein des HUG ont retenu que les effets secondaires du traitement médicamenteux qu’ils ont prescrit se limitaient à des douleurs ostéo-articulaires (rapports des 2 août 2019 et 7 février 2020). Les autres symptômes mentionnés par le Dr H______ semblent relever du trouble psychique qu’il évoque, soit un état dépressif (rapport des 10 janvier 2019 et 9 mai 2019), lequel n’a cependant pas fait l’objet d’un suivi médical spécialisé et n’a pas été dûment documenté. En outre, ce trouble psychique est évoqué par le Dr H______ en janvier 2019, soit postérieurement à la date de la décision litigieuse (le 9 novembre 2018), de sorte qu’il ne saurait être pris en compte dans l’examen du bien-fondé de cette dernière (ATF 144 V 210). b. Au vu de ce qui précède, il convient de retenir une capacité de travail totale de la recourante dès le 1er mai 2016, dans une activité adaptée à ses limitations fonctionnelles. Comme proposé par l’intimé, la cause lui sera renvoyée afin qu’il effectue le calcul du degré d’invalidité de la recourante, en déterminant notamment le revenu d’invalide exigible de la recourante depuis le 1er mai 2016 et rende une nouvelle décision.</w:t>
      </w:r>
    </w:p>
    <w:p>
      <w:r>
        <w:rPr>
          <w:b/>
        </w:rPr>
        <w:t>E. 14</w:t>
      </w:r>
    </w:p>
    <w:p>
      <w:r>
        <w:t>Partant, le recours sera partiellement admis, la décision litigieuse annulée et la cause renvoyée à l’intimé pour nouveau calcul du degré d’invalidité de la recourante depuis le 1er mai 2016, en prenant en compte une capacité de travail totale dans une activité adaptée aux limitations fonctionnelles.</w:t>
      </w:r>
    </w:p>
    <w:p>
      <w:r>
        <w:rPr>
          <w:b/>
        </w:rPr>
        <w:t>E. 15</w:t>
      </w:r>
    </w:p>
    <w:p>
      <w:r>
        <w:t>Vu l’issue du litige, une indemnité de CHF 2’000.- sera accordée à la recourante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w:t>
      </w:r>
    </w:p>
    <w:p>
      <w:r>
        <w:t>A/4335/2018 - 16/16 -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