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ATAS/308/2019 vom 10. April 2019</w:t>
      </w:r>
    </w:p>
    <w:p>
      <w:r>
        <w:t>GE Cour de justice, 2019-04-10, FR</w:t>
      </w:r>
    </w:p>
    <w:p>
      <w:r>
        <w:rPr>
          <w:b/>
        </w:rPr>
        <w:t xml:space="preserve">Quelle: </w:t>
      </w:r>
      <w:r>
        <w:t>https://mcp.opencaselaw.ch/entscheid/ge_gerichte_ATAS_308_2019</w:t>
      </w:r>
    </w:p>
    <w:p>
      <w:r>
        <w:t>FR: GE_GERICHTE ATAS/308/2019 du 10 avril 2019</w:t>
      </w:r>
    </w:p>
    <w:p>
      <w:r>
        <w:t>IT: GE_GERICHTE ATAS/308/2019 del 10 aprile 2019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A/4007/2017 ATAS/308/2019 COUR DE JUSTICE Chambre des assurances sociales Arrêt du 10 avril 2019 4ème Chambre</w:t>
      </w:r>
    </w:p>
    <w:p>
      <w:r>
        <w:t>En la cause Monsieur A______, domicilié à BELLEVUE, comparant avec élection de domicile en l'étude de Maître Marie-Josée COSTA</w:t>
      </w:r>
    </w:p>
    <w:p>
      <w:r>
        <w:t>recourant</w:t>
      </w:r>
    </w:p>
    <w:p>
      <w:r>
        <w:t>contre SUVA CAISSE NATIONALE D'ASSURANCES EN CAS D'ACCIDENTS, sise Fluhmattstrasse 1, LUCERNE</w:t>
      </w:r>
    </w:p>
    <w:p>
      <w:r>
        <w:t>intimée</w:t>
      </w:r>
    </w:p>
    <w:p>
      <w:r>
        <w:t>A/4007/2017 - 2/2 - Vu la décision sur opposition du 31 août 2017 de la SUVA caisse nationale d’assurances en cas d’accidents (ci-après la SUVA) ; Vu le recours interjeté le 2 octobre 2017 par Monsieur A______ (ci-après le recourant) ; Vu les écritures des parties et les pièces produites ; Vu l’audience de délibération de la chambre de céans du 20 mars 2019 ; Attendu qu’à cette dernière audience, la chambre de céans a envisagé de réformer la décision attaquée au détriment du recourant ; Qu’un délai au 28 mars 2019 lui a été octroyé pour faire part à la chambre de céans de ses éventuelles observations ou pour retirer son recours ; Que par courrier du 27 mars 2019, le recourant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