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ATAS/308/2011 vom 22. März 2011</w:t>
      </w:r>
    </w:p>
    <w:p>
      <w:r>
        <w:t>GE Cour de justice, 2011-03-22, FR</w:t>
      </w:r>
    </w:p>
    <w:p>
      <w:r>
        <w:rPr>
          <w:b/>
        </w:rPr>
        <w:t xml:space="preserve">Quelle: </w:t>
      </w:r>
      <w:r>
        <w:t>https://mcp.opencaselaw.ch/entscheid/ge_gerichte_ATAS_308_2011</w:t>
      </w:r>
    </w:p>
    <w:p>
      <w:r>
        <w:t>FR: GE_GERICHTE ATAS/308/2011 du 22 mars 2011</w:t>
      </w:r>
    </w:p>
    <w:p>
      <w:r>
        <w:t>IT: GE_GERICHTE ATAS/308/2011 del 22 marzo 2011</w:t>
      </w:r>
    </w:p>
    <w:p>
      <w:pPr>
        <w:pStyle w:val="Heading2"/>
      </w:pPr>
      <w:r>
        <w:t>Erwägungen</w:t>
      </w:r>
    </w:p>
    <w:p>
      <w:r>
        <w:rPr>
          <w:b/>
        </w:rPr>
        <w:t>E. 1</w:t>
      </w:r>
    </w:p>
    <w:p>
      <w:r>
        <w:t>Conformément à l'art. 134 al. 1 let. a ch. 3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Par ailleurs, conformément à l’art. 134 al.3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w:t>
      </w:r>
    </w:p>
    <w:p>
      <w:r>
        <w:t>A/150/2011 - 5/8 -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Le recours a été formé en temps utile, le 17 janvier 2011, dans le délai de trente jours (art. 60 al. 1 LPGA, art. 9 LPC et art. 43 LPCC) courant dès le lendemain de la réception de la décision sur opposition du 23 décembre 2010 (cf. art. 38 al. 1, 39 al. 2 et 60 al. 2 LPGA). Interjeté dans les forme et délai prévus par la loi, il est donc recevable (art. 56 ss LPGA).</w:t>
      </w:r>
    </w:p>
    <w:p>
      <w:r>
        <w:rPr>
          <w:b/>
        </w:rPr>
        <w:t>E. 4</w:t>
      </w:r>
    </w:p>
    <w:p>
      <w:r>
        <w:t>Le litige porte uniquement sur les conditions d’une remise de l’obligation de restituer les prestations complémentaires, et singulièrement sur celle de la bonne foi.</w:t>
      </w:r>
    </w:p>
    <w:p>
      <w:r>
        <w:rPr>
          <w:b/>
        </w:rPr>
        <w:t>E. 5</w:t>
      </w:r>
    </w:p>
    <w:p>
      <w:r>
        <w:t>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w:t>
      </w:r>
    </w:p>
    <w:p>
      <w:r>
        <w:t>A/150/2011 - 6/8 - personne capable de discernement dans une situation identique et dans les mêmes circonstances (ATF 110 V 181 consid. 3d).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 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L'art. 25 OPC précise que la prestation doit notamment être augmentée ou diminuée lors de chaque modification de la rente AVS ou AI. Le devoir d’informer l’administration s’étend à tous les faits qui ont une importance pour le droit aux prestations</w:t>
      </w:r>
    </w:p>
    <w:p>
      <w:r>
        <w:rPr>
          <w:b/>
        </w:rPr>
        <w:t>E. 6</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Dans le cas d'espèce, il est établi que l'épouse de l'assuré a, sur demande de la caisse AVS, annoncé à celle-ci le 9 juillet 2009 la fin des études de son fils, qui a obtenu son bachelor début juillet 2009. La rente complémentaire AVS (450 fr.) et les allocations d'études (250 fr.) n'ont plus été versées à la famille dès le 1er août 2009.</w:t>
      </w:r>
    </w:p>
    <w:p>
      <w:r>
        <w:t>A/150/2011 - 7/8 - D'une part, cette modification de la rente AVS devait être communiquée au SPC selon les termes clairs du courrier informatif du 25 novembre 2008 et on ne peut pas raisonnablement prétendre que seule une augmentation de la rente est visée par le terme "modification de la rente". D'autre part, l'assuré semblait déjà savoir que le droit aux prestations pour KA_________ (rente AVS, allocations d'études, prestations complémentaires) était conditionné à la poursuite des études de ce fils âgé de plus de 18 ans, de sorte qu'il devait annoncer au SPC la fin des études de ce dernier en juillet 2009. En tout les cas, lors de la fin du versement de la rente AVS et des allocations familiales pour KA_________, on pouvait raisonnablement attendre de lui qu'il s'enquière sans délai auprès du SPC des éventuelles conséquences de la fin des études et du versement de la rente AVS de son fils sur les prestations complémentaires. A cet égard, s'il est admissible qu'une période de transition puisse se justifier, le jeune homme hésitant à poursuivre ses études, il est incontestable qu'à défaut de rente AVS pour un enfant majeur, celui-ci n'entre plus dans le cercle des bénéficiaires des prestations complémentaires. L'assuré ne conteste d'ailleurs pas, à juste titre, le bien-fondé de la décision à cet égard, mais fait valoir qu'il a cru de bonne foi que son fils restait à sa charge durant cette période de transition et demeurait donc inclus dans le calcul des PC. Si tel avait été le cas, il aurait alors été logique que l'assuré annonce la baisse - substantielle - du revenu mensuel total de la famille dès le 1er août 2009, lequel passe de 1'897 fr. à 1'199 fr., (sans compter les prestations complémentaires de 1'287 fr. à cette date) et ce pour obtenir une augmentation du montant des prestations complémentaires durant cette période transitoire. Pour finir, l'assuré ne peut pas prétendre attendre que le SPC l'interpelle, dès lors que son devoir d'informer spontanément le service de tout changement lui a été clairement signifié en novembre 2008. Ainsi et sans attacher à cette notion ni jugement moral, ni connotation d'abus, il faut retenir que l'assuré a commis une négligence suffisamment grave en n'annonçant pas la suppression de la rente AVS pour son fils et ne remplit donc pas la condition stricte de la bonne foi, de sorte que la remise ne peut pas être accordée pour les prestations réclamées du 1er août 2009 au 30 novembre 2009, le changement de situation annoncé le 18 novembre 2009 étant toutefois pris en compte dès le 1er décembre 2009.</w:t>
      </w:r>
    </w:p>
    <w:p>
      <w:r>
        <w:rPr>
          <w:b/>
        </w:rPr>
        <w:t>E. 8</w:t>
      </w:r>
    </w:p>
    <w:p>
      <w:r>
        <w:t>Le recours est donc rejeté et la décision sur opposition du 23 décembre 2010, qui admet la remise pour 3'234 fr. 90 et la refuse pour le solde de 4'244 fr. 40 est confirmée.</w:t>
      </w:r>
    </w:p>
    <w:p>
      <w:r>
        <w:t>A/150/2011 - 8/8 -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