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ATAS/308/2008 vom 10. März 2008</w:t>
      </w:r>
    </w:p>
    <w:p>
      <w:r>
        <w:t>GE Cour de justice, 2008-03-10, FR</w:t>
      </w:r>
    </w:p>
    <w:p>
      <w:r>
        <w:rPr>
          <w:b/>
        </w:rPr>
        <w:t xml:space="preserve">Quelle: </w:t>
      </w:r>
      <w:r>
        <w:t>https://mcp.opencaselaw.ch/entscheid/ge_gerichte_ATAS_308_2008</w:t>
      </w:r>
    </w:p>
    <w:p>
      <w:r>
        <w:t>FR: GE_GERICHTE ATAS/308/2008 du 10 mars 2008</w:t>
      </w:r>
    </w:p>
    <w:p>
      <w:r>
        <w:t>IT: GE_GERICHTE ATAS/308/2008 del 10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l'article 56V al. 1 let. a ch. 2 LOJ en instance unique, sur les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w:t>
      </w:r>
    </w:p>
    <w:p>
      <w:r>
        <w:t>A/3970/2007 - 8/14 - nombreuses dispositions légales dans le domaine des assurances sociales. Sur le plan matériel, le point de savoir quel droit s'applique doit être tranché à la lumière du principe selon lequel les règles applicables sont celles en vigueur au moment où les fait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En l'espèce, la demande de prestations a été déposée le 28 avril 2006. La LGPA s'applique donc au cas d'espèces.</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FF 2005, p. 2899 et ss). L'art 69 al. A LAI, dans sa nouvelle teneur, prévoit que les décisions des offices AI cantonaux peuvent faire directement l'objet d'un recours devant le tribunal des assurances du canton de l'office qui a rendu la décision.</w:t>
      </w:r>
    </w:p>
    <w:p>
      <w:r>
        <w:t>b) En l'espèce, l'OCAI a communiqué à l'assuré un projet de décision en date du 5 juillet 2007, qui a été confirmé par la décision du 20 septembre 2007, contra laquelle l'assuré a interjeté directement recours devant le Tribunal de céans le 22 octobre 2007.</w:t>
      </w:r>
    </w:p>
    <w:p>
      <w:r>
        <w:t>c) Interjeté dans les formes et délais prévus par la loi, devant l'autorité compétente, le recours est en conséquence recevable (art. 56 ss LPGA).</w:t>
      </w:r>
    </w:p>
    <w:p>
      <w:r>
        <w:rPr>
          <w:b/>
        </w:rPr>
        <w:t>E. 4</w:t>
      </w:r>
    </w:p>
    <w:p>
      <w:r>
        <w:t>L'objet du litige porte sur le droit de la recourante à une rente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A/3970/2007 - 9/14 -</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w:t>
      </w:r>
    </w:p>
    <w:p>
      <w:r>
        <w:t>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t>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w:t>
      </w:r>
    </w:p>
    <w:p>
      <w:r>
        <w:t>A/3970/2007 - 10/14 -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A/3970/2007 - 11/14 -</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A/3970/2007 - 12/14 -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le Dr O___________, entendu en audience, a attesté que l'état de santé de la recourante s'était aggravé dès août 2007, aggravation admise par l'intimé, lequel se fonde sur l'avis médical de la Dresse S___________ du 15 février 2008.</w:t>
      </w:r>
    </w:p>
    <w:p>
      <w:r>
        <w:t>Il convient dans ces conditions de compléter l'instruction du dossier par le biais d'une expertise psychiatrique, afin de déterminer l'impact de l'affection psychique de la recourante sur sa capacité de travail. En conséquence, le recours sera partiellement admis, la décision litigieuse annulée et la cause renvoyée à l'intimé, suivant en cela sa proposition, afin qu'il complète l'instruction du dossier par le biais d'une expertise psychiatrique confiée à un expert indépendant. A cet égard, il convient de relever que le juge cantonal dispose d'une large liberté dans le choix des preuves qu'il entend administrer. Cette liberté est le corollaire de l'obligation à sa charge d'établir les faits déterminants pour l'issue du litige. S'agissant d'une expertise médicale, il a en principe la possibilité soit de commettre lui-même un</w:t>
      </w:r>
    </w:p>
    <w:p>
      <w:r>
        <w:t>A/3970/2007 - 13/14 - expert, soit de renvoyer la cause à l'administration pour qu'elle mette en œuvre l'expertise. La décision de renvoi ne doit pas se trouver en contradiction avec des pièces évidentes et concordantes du dossier ou méconnaître des preuves pertinentes et suffisantes pour trancher le litige. Un renvoi à l'administration ne saurait en effet apparaître comme le prétexte à un refus de trancher le litige au fond sur la base du dossier constitué et conduire de ce fait à un déni de justice de la part de l'autorité (cf. RAMA 1999 N° U 342 p. 410, 1993 N° U 170 p. 136, ATFA du 7 août 2003 I 656/02).</w:t>
      </w:r>
    </w:p>
    <w:p>
      <w:r>
        <w:t>Le renvoi de la cause à l'intimé est justifié en l'espèce, en particulier dès lors que celui-ci reconnaît que l'instruction doit être complétée.</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Un émolument de 200 fr. sera mis à la charge de l'intimé et une indemnité de 1'500 fr. sera allouée à la recourante, à charge de l'intimé.</w:t>
      </w:r>
    </w:p>
    <w:p>
      <w:r>
        <w:t>A/3970/2007 - 14/14 -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