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ATAS/307/2019 vom 10. April 2019</w:t>
      </w:r>
    </w:p>
    <w:p>
      <w:r>
        <w:t>GE Cour de justice, 2019-04-10, FR</w:t>
      </w:r>
    </w:p>
    <w:p>
      <w:r>
        <w:rPr>
          <w:b/>
        </w:rPr>
        <w:t xml:space="preserve">Quelle: </w:t>
      </w:r>
      <w:r>
        <w:t>https://mcp.opencaselaw.ch/entscheid/ge_gerichte_ATAS_307_2019</w:t>
      </w:r>
    </w:p>
    <w:p>
      <w:r>
        <w:t>FR: GE_GERICHTE ATAS/307/2019 du 10 avril 2019</w:t>
      </w:r>
    </w:p>
    <w:p>
      <w:r>
        <w:t>IT: GE_GERICHTE ATAS/307/2019 del 10 aprile 2019</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À Genève, 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w:t>
      </w:r>
    </w:p>
    <w:p>
      <w:r>
        <w:t>A/250/2017 - 22/41 -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d. En l’espèce, le demandeur est un ayant droit au sens de l’art. 73 al. 1 LPP et l’objet du litige relève manifestement du droit de la prévoyance professionnelle, puisqu’il porte sur le droit à une rente d'invalidité. Le demandeur travaillait dans le canton de Genève au service de B______ lorsqu'il était affilié auprès de la défenderesse principale, de sorte que la compétence de la chambre de céans à l'égard de celle-ci est donnée. Il s'ensuit que le for situé dans ce canton doit être également admis à l’égard de la défenderesse subsidiaire, ce que cette dernière ne conteste pas. Par conséquent, la chambre de céans est donc compétente pour connaître du litige, tant ratione materiae que ratione loci.</w:t>
      </w:r>
    </w:p>
    <w:p>
      <w:r>
        <w:rPr>
          <w:b/>
        </w:rPr>
        <w:t>E. 2</w:t>
      </w:r>
    </w:p>
    <w:p>
      <w:r>
        <w:t>L’ouverture de l’action prévue à l’art. 73 al. 1 LPP n’est soumise, comme telle, à l’observation d’aucun délai (ATAS/390/2016 du 17 mai 2016). La demande respecte en outre la forme prévue à l'art. 89B de la loi sur la procédure administrative du 12 septembre 1985 (LPA - E 5 10). Partant, elle est recevable.</w:t>
      </w:r>
    </w:p>
    <w:p>
      <w:r>
        <w:t>A/250/2017 - 23/41 -</w:t>
      </w:r>
    </w:p>
    <w:p>
      <w:r>
        <w:rPr>
          <w:b/>
        </w:rPr>
        <w:t>E. 3</w:t>
      </w:r>
    </w:p>
    <w:p>
      <w:r>
        <w:t>Le litige porte sur le droit du demandeur à une rente d'invalidité.</w:t>
      </w:r>
    </w:p>
    <w:p>
      <w:r>
        <w:rPr>
          <w:b/>
        </w:rPr>
        <w:t>E. 4</w:t>
      </w:r>
    </w:p>
    <w:p>
      <w:r>
        <w:t>a. Selon l’art. 23 let. a LPP, ont droit à des prestations d'invalidité les personnes qui sont invalides à raison de 40% au moins au sens de l'AI, et qui étaient assurées lorsqu'est survenue l'incapacité de travail dont la cause est à l'origine de l'invalidité. L’art. 24 al. 1 LPP dispose que l’assuré a droit à une rente entière s'il est invalide à raison de 70% au moins au sens de l'AI (let. a), à trois quarts de rente s'il est invalide à raison de 60 % au moins (let. b), à une demi-rente s'il est invalide à raison de 50 % au moins (let. c), et à un quart de rente s'il est invalide à raison de 40 % au moins (let. d).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Ces principes trouvent aussi application en matière de prévoyance plus étendue, si le règlement de l'institution de prévoyance ne prévoit rien d'autre (ATF 136 V 65 consid. 3.2 ; ATf 123 V 262 consid. 1b ; ATF 120 V 112 consid. 2b).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(ATF 123 V 262 consid. 1c; ATF 120 V 112 consid. 2c).</w:t>
      </w:r>
    </w:p>
    <w:p>
      <w:r>
        <w:t>A/250/2017 - 24/41 - L’atteinte à la santé responsable de la survenance de l’incapacité de travail initiale est à comparer au tableau clinique qui a conduit plus tard à l’attribution d’une rente d’invalidité (arrêt du Tribunal fédéral des assurances B.48/05 du 25 avril 2006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B.9/06 du 21 novembre 2006 consid. 4.1 et 4.2).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w:t>
      </w:r>
    </w:p>
    <w:p>
      <w:r>
        <w:rPr>
          <w:b/>
        </w:rPr>
        <w:t>E. 5</w:t>
      </w:r>
    </w:p>
    <w:p>
      <w:r>
        <w:t>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 et la référence citée). Le fait que les décisions de l'assurance-invalidité fédérale lient en principe les institutions de prévoyance (ATF 123 V 270 consid. 2a, ATF 115 V 208 consid. 2b, ATF 129 V 73 consid. 4.2) n'y change rien. Ce principe trouve en effet sa limite lorsque la décision de l'assurance-invalidité n'est pas soutenable (ATF 126 V 308 consid. 1 in fine, ATF 120 V 106 consid. 3c) et lorsque la décision des organes de l'assurance-invalidité est fondée sur des éléments sans pertinence pour la détermination du droit à une pension de prévoyance. Tel est précisément le cas lorsque le degré d'invalidité fixé par les organes de l'assurance-invalidité résulte de plusieurs causes dont seules certaines sont à l'origine d'une incapacité de travail survenue durant l'affiliation à une institution de prévoyance au sens de</w:t>
      </w:r>
    </w:p>
    <w:p>
      <w:r>
        <w:t>A/250/2017 - 25/41 - l'art. 23 LPP (arrêt du Tribunal fédéral des assurances B.92/06 consid. 4.3 et la référence citée).</w:t>
      </w:r>
    </w:p>
    <w:p>
      <w:r>
        <w:rPr>
          <w:b/>
        </w:rPr>
        <w:t>E. 6</w:t>
      </w:r>
    </w:p>
    <w:p>
      <w:r>
        <w:t>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Marc HÜRZELER, in Commentaire LPP et LFLP, n. 7 ad art. 23 LPP).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(arrêts du Tribunal fédéral des assurances B.62/01 du 24 juin 2002 consid. 1b; B.35/00 du 22 février 2002 consid. 1b; Marc HÜRZELER, op. cit., n. 9 ad art. 23 LPP). Une appréciation subséquente et médico-théorique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w:t>
      </w:r>
    </w:p>
    <w:p>
      <w:r>
        <w:rPr>
          <w:b/>
        </w:rPr>
        <w:t>E. 7</w:t>
      </w:r>
    </w:p>
    <w:p>
      <w:r>
        <w:t>a. Dans le système de la prévoyance professionnelle, la loi fédérale sur la prévoyance professionnelle vieillesse, survivants et invalidité (pour le régime obligatoire de la prévoyance professionnelle), respectivement le règlement de</w:t>
      </w:r>
    </w:p>
    <w:p>
      <w:r>
        <w:t>A/250/2017 - 26/41 -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du fait assuré, par l'estimation des organes de cette assurance, sauf si cette estimation apparaît d'emblée insoutenable (ATF 143 V 434 consid. 2.2; ATF 138 V 409 consid. 3.1;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 invalidité (ATF 129 V 73 consid. 4). Le Tribunal fédéral (consid. 2.3.2 non publié de l'ATF 130 V 501, mais dans SVR 2005 BVG n° 5 p. 14) a encore précisé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(arrêt du Tribunal fédéral 9C_651/2015 du 11 février 2016 consid. 4.1).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du Tribunal fédéral 9C_700/2007 du 26 juin 2008 consid. 2.3). b. Pour examiner le point de savoir si l'évaluation de l'invalidité par l'assurance- 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 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ATF 130 V 270 consid. 3.1; ATF 126 V 308 consid. 2a). Le caractère insoutenable d’une décision</w:t>
      </w:r>
    </w:p>
    <w:p>
      <w:r>
        <w:t>A/250/2017 - 27/41 - relève d'une question de droit (arrêt du Tribunal fédéral 9C_327/2011 du 21 février 2012 consid. 4.2).</w:t>
      </w:r>
    </w:p>
    <w:p>
      <w:r>
        <w:rPr>
          <w:b/>
        </w:rPr>
        <w:t>E. 8</w:t>
      </w:r>
    </w:p>
    <w:p>
      <w:r>
        <w:t>a. Les dispositions de la loi fédérale sur l'assurance-invalidité s'appliquent par analogie à la naissance du droit aux prestations (art. 26 al. 1 LPP). L'institution de prévoyance peut prévoir, dans ses dispositions réglementaires, que le droit aux prestations est différé aussi longtemps que l'assuré reçoit un salaire entier (art. 26 al. 2 LPP). b. Le droit aux prestations s'éteint au décès du bénéficiaire ou, sous réserve de l'art. 26a, à la disparition de l'invalidité (art. 26 al. 3 1ère phrase LPP). Pour déterminer le moment où le droit à la rente d'invalidité LPP est perdu, il faut, selon l'ATF 133 V 67, appliquer par analogie les dispositions régissant l'assurance- invalidité. D'après l'art. 88a al. 1 du règlement du 17 janvier 1961 sur l’assurance- invalidité du 17 janvier 1961 (RAI - RS 831.201), l'invalidité est dans tous les cas réputée disparue lorsque l'amélioration de la capacité de travail a duré trois mois sans interruption notable, sans qu'une complication prochaine soit à craindre (HÜRZELER, op. cit., n° 27 ad art. 26 LPP).</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A/250/2017 - 28/41 - le droit litigieux (ATF 134 V 231 consid. 5.1; ATF 133 V 450 consid. 11.1.3; ATF 125 V 351 consid. 3).</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a. En l'espèce, le demandeur fait valoir qu’il a droit à une rente entière d’invalidité de la part de la défenderesse principale en se fondant sur la décision de l’OAI du 8 avril 2015. b. Il n'est pas contesté que les rapports de travail du demandeur auprès de B______ ont débuté le 1er décembre 2003 et ont pris fin le 31 janvier 2011. Le demandeur n'ayant pas été engagé par un nouvel employeur à l'expiration du délai d'un mois à compter du 1er février 2011, il est donc resté assuré auprès de la défenderesse principale jusqu'au 28 février 2011 inclus, pour les risques de décès et d'invalidité (cf. art. 10 al. 3 LPP). c. Selon l'art. 35 du Règlement de prévoyance de la défenderesse principale (édition 1.1.2007), ont droit à des prestations d'invalidité notamment les personnes qui sont invalides à raison de 40% au moins au sens de l'AI, et qui étaient affiliées à la Caisse lorsqu'est survenue l'incapacité de travail dont la cause est à l'origine de l'invalidité (let. a). La naissance du droit à la rente d'invalidité est régie par les dispositions correspondantes de l'AI (art. 36.1). Selon l'art. 37.1 du Règlement, la rente d'invalidité et la rente complémentaire sont allouées proportionnellement au degré d'invalidité reconnu par l'AI. Selon l'al. 2, l'assuré a droit à une rente entière s'il est invalide à raison de 70% au moins au sens de l'AI (let. a); à trois quarts de rente s'il est invalide à raison de 60% au moins (let. b); à une demi-rente s'il est invalide à raison de 50% au moins (let. c) et à un quart de rente s'il est invalide à raison de 40% au moins (let. d). Le Plan Media, applicable au demandeur, fixe une limite supérieure plus élevée que la LPP pour le salaire déterminant et des prestations invalidité et décès exprimées en pourcent du salaire assuré (primauté des prestations; art. 54 à 57 du Règlement). La chambre de céans constate ainsi que la notion d'invalidité adoptée par la défenderesse principale correspond à celle de la LAI, ce que les parties ne contestent pas. Par conséquent, compte tenu du fait que la décision de l'OAI a été notifiée à la défenderesse principale en tant qu'institution de prévoyance concernée et qu'elle est entrée en force sans avoir été attaquée ni par le demandeur, ni par la</w:t>
      </w:r>
    </w:p>
    <w:p>
      <w:r>
        <w:t>A/250/2017 - 29/41 - défenderesse principale, la décision de l'assurance-invalidité lie cette dernière, en déployant ses effets contraignants aussi en matière de prévoyance professionnelle obligatoire, ceci sous réserve d'une inexactitude manifeste. Il convient par conséquent d’examiner si la décision de l’OAI est manifestement erronée. d. En l’espèce, le demandeur a été reconnu invalide par l’OAI (à 100% dès le 25 janvier 2011 et à 79% dès le mois de juillet 2013) de sorte que par décision du 8 avril 2015, il a été mis au bénéfice d’une rente entière dès le 1er mars 2011. Selon sa décision, l'OAI a retenu que le demandeur a présenté une incapacité de travail totale durable dans toute activité dès le 25 janvier 2010. À l'échéance du délai d'attente d'une année, la capacité de travail était nulle dans toute activité. Dès le mois d'avril 2013, la capacité de travail dans l'ancienne activité de cadre était encore nulle, mais dans une activité adaptée aux limitations fonctionnelles (résistance au stress et capacité d'adaptation diminuées, épargne du dos, des genoux et de l'épaule droite), la capacité de travail était de 50%. La rente de l'OAI se fonde ainsi à la fois sur des troubles psychiques et ostéo- articulaires. Il convient par conséquent d'examiner séparément, en relation avec chaque atteinte à la santé, si l'incapacité de travail qui en a résulté est survenue durant l'affiliation auprès de la défenderesse principale et si elle est à l'origine d'une invalidité. La défenderesse principale ne conteste pas que le début de l’incapacité de travail durable pour les troubles psychiques, tel que retenu par l’OAI, soit en janvier 2010, est survenu pendant l’affiliation du demandeur auprès d’elle. S’agissant des troubles ostéo-articulaires, la défenderesse principale fait toutefois valoir qu'aucune incapacité de travail pour cette atteinte n’est survenue pendant l’affiliation du demandeur. La défenderesse subsidiaire fait, quant à elle, valoir que les troubles somatiques sont survenus au moment où le demandeur était affilié auprès de la défenderesse principale, soit avant son inscription au chômage. La chambre de céans relèvera que dans la mesure où le SMR n’a pas examiné le début de l’incapacité de travail durable pour les troubles ostéo-articulaires, il convient de déterminer la date de la première survenance de l'incapacité de travail en raison de ces troubles qui a constitué la cause de l'invalidité (art. 23 let. a LPP) en procédant à une appréciation du cas au regard des rapports versés au dossier. On rappellera notamment que le moment de la survenance de l’incapacité de travail ne peut faire l’objet d’hypothèses ou de déductions purement spéculatives, mais doit être établi au degré de la vraisemblance prépondérante. À la lecture de l’ensemble des pièces versées au dossier, il apparaît que la thèse que soutient la défenderesse subsidiaire, soit la survenue de troubles ostéo-articulaires invalidants avant l'inscription au chômage en juin 2011, n'est ni documentée, ni rendue vraisemblable. Elle ne trouve en effet aucun appui auprès des spécialistes qui ont examiné le demandeur. Si les rapports médicaux font certes état de</w:t>
      </w:r>
    </w:p>
    <w:p>
      <w:r>
        <w:t>A/250/2017 - 30/41 - l’existence de troubles en 1985, 1989 et dès juillet 2011 (rapports du Dr I______ du 9 janvier 2012, du Dr J______ du 30 mars 2012, du Dr L______ du 13 août 2012, du Dr I______ du 13 septembre 2012 et du Dr L______ du 15 mai 2013), aucun médecin n'a toutefois attesté que la capacité de travail du demandeur aurait été réduite en raison de telles affections avant juin 2011. En outre, contrairement à ce qu’avance la défenderesse subsidiaire, le Dr C______ n’a fait état d’aucun diagnostic somatique ayant une répercussion sur la capacité de travail du demandeur (rapport du 23 juillet 2010). Qui plus est, le 5 octobre 2010, la Dresse E______ confirmait que le demandeur présentait des diagnostics somatiques, mais sans effets sur sa capacité de travail. Par ailleurs, il apparaît qu’une incapacité de travail pour des troubles ostéo- articulaires n’a été attestée qu’à compter du 4 avril 2012 (cf. certificat d’arrêt de travail établi par la Dresse E______ en date du 4 avril 2012 ; rapport du Dr L______ du 6 juin 2012, rapport de la Dresse E______ du 20 août 2012). On relèvera par ailleurs que si le Dr I______ a estimé que l’incapacité de travail du demandeur était de 50% en janvier 2012 (rapport du 9 janvier 2012), il n’en demeure pas moins qu’aucun arrêt de travail établi à cette date ne figure au dossier. Ainsi, il n'existe pas au dossier d'attestation médicale dont on puisse déduire que les troubles de la colonne vertébrale ont été à l'origine d'une incapacité de travail déterminante pendant l’affiliation du demandeur auprès de la défenderesse principale, soit entre le 1er décembre 2003 et le 28 février 2011. Partant, force est de constater que l'incapacité de travail durable déterminante au sens de l'art. 23 LPP pour les troubles ostéo-articulaires a débuté le 4 avril 2012, soit après la fin de l’affiliation du demandeur auprès de la défenderesse principale. Il s'ensuit que le demandeur ne peut pas prétendre à une rente de la défenderesse principale en raison de son invalidité due aux troubles ostéo-articulaires. S’agissant des troubles psychiques, la défenderesse principale ne conteste pas que lors de son affiliation, le demandeur a subi une incapacité de travail pour de tels troubles, donnant droit à une rente d'invalidité entière de mars à juin 2011, voire juillet 2011. La défenderesse principale fait toutefois valoir que c'est de manière insoutenable que l'OAI a retenu une incapacité de travail totale dans l'activité habituelle pour des motifs psychiques au-delà du 1er juillet ou du 1er août 2011. Selon elle, le demandeur a recouvré une pleine capacité de travail dans son activité habituelle dès le 1er juillet, voire dès le 1er août 2011. Le demandeur ne conteste pas avoir recouvré une capacité de travail à 50% dès le 1er juin 2011 et totale dès le 1er août 2011 dans une activité adaptée à ses troubles psychiques. Toutefois, il estime avoir été durablement incapable d'exercer son activité habituelle de cadre, avec les responsabilités qui en découlaient, en raison de son état anxio-dépressif et du fait qu'il restait vulnérable au stress, comme l’a retenu l’OAI.</w:t>
      </w:r>
    </w:p>
    <w:p>
      <w:r>
        <w:t>A/250/2017 - 31/41 - En l’occurrence, si le demandeur a certes présenté une incapacité de travail durable dès le 25 janvier 2016, il n’est pas contesté par les parties, ni contestable au vu des pièces au dossier, qu’il a effectivement présenté une amélioration de sa capacité de travail dès mi-2011, comme le SMR l’a, à plusieurs reprises, relevé dans ses rapports en constatant une capacité de travail totale dès le 1er juillet 2011 ou dès le</w:t>
      </w:r>
    </w:p>
    <w:p>
      <w:r>
        <w:rPr>
          <w:b/>
        </w:rPr>
        <w:t>E. 13</w:t>
      </w:r>
    </w:p>
    <w:p>
      <w:r>
        <w:t>septembre 2011 (avis des 10 octobre 2011, 17 janvier et 13 juin 2013). Il convient par conséquent de déterminer si le demandeur a recouvré une capacité de travail entière dans son activité habituelle ou dans une activité adaptée uniquement. Il n'est pas contesté que le demandeur, qui exerçait la fonction de secrétaire général auprès d'une fondation privée depuis décembre 2003, a souffert d'un burn-out professionnel entraînant une incapacité de travail dès le mois de janvier 2010. Après une aggravation de son trouble psychique en janvier 2011, le demandeur a recouvré une capacité de travail de 50% dès le 1er juin 2011 et à 100% dès le 1er août 2011, attestée par le Dr D______. Si, comme le fait valoir la défenderesse subsidiaire, aucun arrêt de travail en raison de troubles psychiques n'a ensuite été attestée, il n'en demeure pas moins qu'il résulte de la lecture de l'ensemble des pièces versées au dossier que le demandeur présentait des limitations fonctionnelles rendant inexigible la reprise d’une fonction à hautes responsabilités comme celle qu’il exerçait préalablement en tant que secrétaire général. En effet, avant même que le demandeur ne subisse une aggravation de ses troubles psychiques, son psychiatre traitant avait déjà indiqué que l'activité habituelle restait exigible à la reprise, mais qu’il était plus adapté que le demandeur choisisse à l'avenir un poste avec moins de responsabilités et donc moins de stress (rapport du 30 novembre 2010). Par ailleurs, selon une note de travail de l'OAI du 28 juin 2011, il convenait que le demandeur évite les postes avec des impératifs de productivité trop élevés, des postes de direction, ainsi que des postes « tournés vers l'extérieur ». En outre, au moment de la reprise à 100%, le Dr D______ a estimé que le demandeur pouvait être considéré comme guéri de son trouble dépressif. Néanmoins, il a précisé que la situation restait fragile et que le demandeur présentait un risque de rechute (rapport du 12 septembre 2011). Il apparaît en outre que dès le 28 septembre 2011, le demandeur a poursuivi un traitement auprès d'une psychiatre, la Dresse H______. Celle-ci a diagnostiqué, en date du 30 janvier 2012, avec effet sur la capacité de travail, un épisode dépressif sévère et prolongé depuis janvier 2009. Le demandeur présentait alors des symptômes dépressifs résiduels, avec une dysthymie modérée, des problèmes de concentration, une fatigabilité, de l'anxiété et des troubles du sommeil. Si ce médecin a estimé que les symptômes ne représentaient pas un handicap important pour la reprise du travail, elle a toutefois précisé que le demandeur présentait des limitations, soit des problèmes de concentration, une adynamie, une fatigabilité, une perte de confiance en ses capacités, lesquelles étaient probablement un peu réduites. À la question de savoir si l'activité habituelle était encore exigible, le médecin a répondu positivement, progressivement jusqu'à</w:t>
      </w:r>
    </w:p>
    <w:p>
      <w:r>
        <w:t>A/250/2017 - 32/41 - 100%, mais avec des tâches moins stressantes et moins complexes. Le rendement était réduit car le demandeur était plus lent et moins performant. Il n'y avait pas de vraie incapacité de travail sur le plan psychique. À titre de limitations fonctionnelles, le demandeur présentait une limitation de sa capacité de concentration et de sa résistance (rapport du 30 janvier 2012). Par la suite, la Dresse H______ a certes exposé que les affections neuro-orthopédiques étaient au premier plan et les seules causes de l'incapacité de travail et que les troubles psychiques étaient très atténués. Elle a toutefois expliqué qu’elles avaient une influence sur la thymie qui s'était dépréciée, le rendement, la concentration et la confiance en soi. Le demandeur poursuivait des entretiens de soutien et une médication anti- dépressive (rapport du 23 juillet 2012). En outre, dans un courriel du 7 novembre 2014, le SMR a encore retranscrit les explications données par la Dresse E______, selon laquelle la capacité de travail du demandeur restait nulle dans son activité habituelle de cadre vu sa résistance au stress et sa capacité d'adaptation diminuées, ce que la Dresse E______ a encore confirmé en indiquant que le demandeur n'était plus apte à occuper un poste de cadre avec des responsabilités étant donné qu'il restait vulnérable au stress (rapports des 17 décembre 2014, 25 février et 2 mars 2015). Compte tenu de ce qui précède, s’il apparaît que les médecins n’ont pas établi, postérieurement au 31 juillet 2011, d’arrêt de travail en raison de troubles psychiques. Il ne fait néanmoins pas de doute, à la lecture de l’ensemble des rapports médicaux, que suite à son burn-out survenu en 2009/2010, la symptomatologie psychique du demandeur ne s’est pas amendée dans une mesure propre à lui permettre de reprendre durablement l’exercice d’une fonction de cadre avec de hautes responsabilités ainsi que des tâches complexes et stressantes comme celles qu’il avait auprès de son ancien employeur. Le fait que le demandeur se soit inscrit au chômage le 21 juin 2011 ne suffit pas encore à retenir l’existence d’une capacité de travail pleine et entière dans son activité habituelle. Par conséquent, en tant que l’OAI a retenu que le demandeur présentait une incapacité de travail totale dans son activité habituelle dès janvier 2010, sa décision n’est pas manifestement erronée. Cela étant, s’il y a lieu de retenir que le demandeur n’a plus présenté une capacité de travail dans un poste à hautes responsabilités, il n’en demeure pas moins qu’une amélioration de son état psychique lui a permis de recouvrer une capacité de travail à 50% dès le 1er juin 2011 et à 100% dès le 1er août 2011, dans une activité adaptée, sans stress, avec moins de responsabilités et moins de tâches complexes. Or, force est de constater que l'OAI, à tort, n'a pas pris en compte cette amélioration de l'état de santé du demandeur dès la mi-2011, pourtant dûment relevée à plusieurs reprises par le SMR (avis des 10 octobre 2011, 17 janvier et 13 juin 2013). En effet, l’OAI a omis de procéder à un nouveau calcul du degré d’invalidité du demandeur (comme l’impose l’art. 17 al. 1 de la loi fédérale sur la partie générale du droit des assurances sociales du 6 octobre 2000; LPGA - RS 830.1). Ce faisant, l’OAI a</w:t>
      </w:r>
    </w:p>
    <w:p>
      <w:r>
        <w:t>A/250/2017 - 33/41 - considéré, à tort, qu’en raison de ses troubles psychiques, le demandeur a présenté, sans discontinuer, une incapacité de travail totale dans toute activité jusqu’en avril 2013. Partant, la décision de l'OAI est insoutenable sur ce point. Il convient dès lors de déterminer le degré d'invalidité du demandeur suite à l’amélioration de son état de santé dès mi-2011. 12.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fixer le revenu sans invalidité, il faut établir ce que l'assuré aurait, au degré de la vraisemblance prépondérante, réellement pu obtenir au moment déterminant s'il n'était pas invalide (arrêt du Tribunal fédéral 8C_543/2008 du 4 mars 2009 consid. 7). Ce revenu doit être évalué de manière aussi concrète que possible si bien qu’il convient, en règle générale, de se référer au dernier salaire que l’assuré a obtenu avant l’atteinte à sa santé, en tenant compte de l’évolution des salaires (ATF 134 V 322 consid. 4.1). S'agissant du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w:t>
      </w:r>
    </w:p>
    <w:p>
      <w:r>
        <w:t>A/250/2017 - 34/41 -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Aux termes de l’art. 88a al. 1 du règlement sur l’assurance-invalidité du</w:t>
      </w:r>
    </w:p>
    <w:p>
      <w:r>
        <w:rPr>
          <w:b/>
        </w:rPr>
        <w:t>E. 17</w:t>
      </w:r>
    </w:p>
    <w:p>
      <w:r>
        <w:t>Compte tenu de ce qui précède, la demande sera partiellement admise, le demandeur ayant droit, de la défenderesse principale, à une rente entière d’invalidité du 1er mars au 31 octobre 2011, majorée d’un intérêt moratoire de 5% dès le 23 janvier 2017, sous réserve d'un éventuel différé des prestations et sous réserve d'une éventuelle surindemnisation, et de la défenderesse subsidiaire, à une demi-rente d’invalidité à compter du 1er avril 2013, majorée d’un intérêt moratoire de 5% dès le 23 janvier 2017, sous déduction des rentes versées à titre provisoire et sous réserve d’une éventuelle surindemnisation.</w:t>
      </w:r>
    </w:p>
    <w:p>
      <w:r>
        <w:rPr>
          <w:b/>
        </w:rPr>
        <w:t>E. 18</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(ATAS/565/2018 du 21 juin 2018). En l’espèce, au vu du nombre d’échanges d’écritures et de leur pertinence, il se justifie d’allouer une indemnité de CHF 6'000.- au demandeur à titre de dépens, soit CHF 3'000.- à charge de la défenderesse principale et CHF 3’000.- à charge de la défenderesse subsidiaire.</w:t>
      </w:r>
    </w:p>
    <w:p>
      <w:r>
        <w:rPr>
          <w:b/>
        </w:rPr>
        <w:t>E. 19</w:t>
      </w:r>
    </w:p>
    <w:p>
      <w:r>
        <w:t>Pour le surplus, la procédure est gratuite (art. 73 al. 2 LPP et art. 89H al. 1 LPA).</w:t>
      </w:r>
    </w:p>
    <w:p>
      <w:r>
        <w:t>A/250/2017 - 41/41 - PAR CES MOTIFS, LA CHAMBRE DES ASSURANCES SOCIALES : Statuant À la forme : 1. Déclare la demande recevable. Au fond : 2. L’admet partiellement. 3. Dit que la défenderesse principale doit verser au demandeur une rente d'invalidité entière du 1er mars au 31 octobre 2011, majorée d'un intérêt moratoire de 5% dès le</w:t>
      </w:r>
    </w:p>
    <w:p>
      <w:r>
        <w:rPr>
          <w:b/>
        </w:rPr>
        <w:t>E. 23</w:t>
      </w:r>
    </w:p>
    <w:p>
      <w:r>
        <w:t>janvier 2017, et dès la date de leur exigibilité pour les rentes échues postérieurement à la demande en justice, sous déduction des rentes versées à titre provisoire et sous réserve d'une éventuelle surindemnisation. 5. Condamne la défenderesse principale à verser au demandeur le montant de CHF 3'000.- à titre de dépens. 6. Condamne la défenderesse subsidiaire à verser au demandeur le montant de CHF 3'000.-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