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ATAS/307/2017 vom 13. April 2017</w:t>
      </w:r>
    </w:p>
    <w:p>
      <w:r>
        <w:t>GE Cour de justice, 2017-04-13, FR</w:t>
      </w:r>
    </w:p>
    <w:p>
      <w:r>
        <w:rPr>
          <w:b/>
        </w:rPr>
        <w:t xml:space="preserve">Quelle: </w:t>
      </w:r>
      <w:r>
        <w:t>https://mcp.opencaselaw.ch/entscheid/ge_gerichte_ATAS_307_2017</w:t>
      </w:r>
    </w:p>
    <w:p>
      <w:r>
        <w:t>FR: GE_GERICHTE ATAS/307/2017 du 13 avril 2017</w:t>
      </w:r>
    </w:p>
    <w:p>
      <w:r>
        <w:t>IT: GE_GERICHTE ATAS/307/2017 del 13 aprile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règle la procédure en cas de divorce. Lorsque les conjoints ne sont pas d’accord sur la prestation de sortie à partager (art. 122 et 123 Code Civil - CC), le juge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exécuter d'office le partage sur la base de la clé de répartition déterminée par le juge du divorce.</w:t>
      </w:r>
    </w:p>
    <w:p>
      <w:r>
        <w:rPr>
          <w:b/>
        </w:rPr>
        <w:t>E. 2</w:t>
      </w:r>
    </w:p>
    <w:p>
      <w:r>
        <w:t>Selon l'art. 22 al. 1 LFLP, en cas de divorce, les prestations de sortie acquises durant le mariage sont partagées conformément aux art. 122 et 123 CC et aux</w:t>
      </w:r>
    </w:p>
    <w:p>
      <w:r>
        <w:t>A/715/2017 3/6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3</w:t>
      </w:r>
    </w:p>
    <w:p>
      <w:r>
        <w:t>En l'occurrence, se pose d'abord la question de l'exequatur du jugement de divorce, lequel a été rendu par un tribunal français. a) S'agissant de la reconnaissance de jugements étrangers, il convient de se référer à la loi fédérale sur le droit international privé du 18 mars 1987 (LDIP). Selon son art. 25, une décision étrangère est reconnue en Suisse : a. si la compétence des autorités judiciaires ou administratives de l'État dans lequel la décision a été rendue était donnée; b. si la décision n'est plus susceptible de recours ordinaire ou si elle est définitive; c. s'il n'y a pas de motif de refus au sens de l'art. 27 LDIP, lequel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w:t>
      </w:r>
    </w:p>
    <w:p>
      <w:r>
        <w:t>A/715/2017 4/6 c. qu'un litige entre les mêmes parties et sur le même objet a déjà été introduit en Suisse ou y a déjà été jugé, ou qu'il a précédemment été jugé dans un état tiers, pour autant que cette dernière décision remplisse les conditions de sa reconnaissance. L'art. 29 LDIP définit la procédure de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Lorsqu'une décision étrangère est invoquée à titre préalable, l'autorité saisie peut statuer elle-même sur la reconnaissance (art. 29 al. 3 LDIP). b) Il appartient ainsi à la Cour de céans de statuer, à titre préjudiciel, sur la reconnaissance en Suisse du jugement de divorce rendu le 22 juin 2015 par le Tribunal de grande instance de Bonneville. Le Tribunal fédéral des assurances a confirmé qu'en pareil cas, la juridiction saisie peut faire usage de la faculté réservée par l'art. 29 al. 3 LDIP et statuer elle-même, à titre préjudiciel, sur la reconnaissance en Suisse du divorce prononcé à l'étranger (ATF 6 S.438/2004 du 8 juin 2005 ; cf. également SJ 2002 II p. 397ss). Il convient donc de vérifier que la reconnaissance du jugement étranger est compatible avec l'ordre public suisse (art. 27 al. 1 LDIP). Tel ne serait pas le cas s'il était contraire à des dispositions impératives du droit suisse (par exemple s'il renvoyait le partage des prestations à une date postérieure à celle du divorce [SJ 2004 I p. 413]).</w:t>
      </w:r>
    </w:p>
    <w:p>
      <w:r>
        <w:rPr>
          <w:b/>
        </w:rPr>
        <w:t>E. 4</w:t>
      </w:r>
    </w:p>
    <w:p>
      <w:r>
        <w:t>En l’espèce, le juge français a homologué la convention passée entre les intéressés, laquelle prévoyait notamment que le demandeur s’acquitterait du paiement de la prestation compensatoire par le versement de la somme de EUR 21'774.57 correspondant à son avoir de libre passage au 24 novembre 2014. Le juge civil peut prévoir que le versement de l'indemnité équitable se fera par la cession d'une partie de la prestation de sortie et laisser le soin au tribunal des assurances sociales de régler la situation juridique entre les conjoints et l'institution de prévoyance (ATFA B 131/04 du 23 février 2006). Qui plus est, à teneur du certificat émis par la fondation de prévoyance le 24 novembre 2014, il apparaît qu’en réalité, l’avoir accumulé par le demandeur à</w:t>
      </w:r>
    </w:p>
    <w:p>
      <w:r>
        <w:t>A/715/2017 5/6 cette date s’élevait à CHF 59'851.15, de sorte que le montant sur lequel se sont entendus les époux correspond à la moitié environ de la totalité de l’avoir accumulé durant le mariage. Par ailleurs, la date retenue pour le partage est antérieure au divorce. Dès lors, la convention conclue par les époux et ratifiée par le juge apparaît conforme au droit suisse. Enfin, aucun des demandeurs ne s'oppose à la reconnaissance du jugement français. Par conséquent, il y a lieu de reconnaître le jugement de divorce et d'exécuter le partage ordonné par le juge français.</w:t>
      </w:r>
    </w:p>
    <w:p>
      <w:r>
        <w:rPr>
          <w:b/>
        </w:rPr>
        <w:t>E. 5</w:t>
      </w:r>
    </w:p>
    <w:p>
      <w:r>
        <w:t>La demanderesse étant domiciliée en France, se pose à présent la question de savoir si le montant qui lui est dû peut lui être versé en espèces - comme le conclut le demandeur en réclamant le versement sur un compte bancaire - ou doit l'être sur un compte de prévoyance. Dans la mesure où la demanderesse n’a jamais résidé en Suisse, rien n’interdit le versement en espèces dans le cas présent. En effet, il n’y a pas eu, la concernant, de « cessation d'assujettissement » au sens propre.</w:t>
      </w:r>
    </w:p>
    <w:p>
      <w:r>
        <w:rPr>
          <w:b/>
        </w:rPr>
        <w:t>E. 6</w:t>
      </w:r>
    </w:p>
    <w:p>
      <w:r>
        <w:t>Eu égard aux considérations qui précèdent, rien ne s’oppose à la demande de transfert d’avoir formulée par le demandeur. Aucun émolument ne sera perçu, la procédure étant gratuite (art. 73 al. 2 LPP et 89H al. 1 de la loi sur la procédure administrative du 12 septembre 1985).</w:t>
      </w:r>
    </w:p>
    <w:p>
      <w:r>
        <w:t>A/715/2017 6/6</w:t>
      </w:r>
    </w:p>
    <w:p>
      <w:r>
        <w:t>PAR CES MOTIFS, LA CHAMBRE DES ASSURANCES SOCIALES : A titre préjudiciel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