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ATAS/306/2020 vom 27. April 2020</w:t>
      </w:r>
    </w:p>
    <w:p>
      <w:r>
        <w:t>GE Cour de justice, 2020-04-27, FR</w:t>
      </w:r>
    </w:p>
    <w:p>
      <w:r>
        <w:rPr>
          <w:b/>
        </w:rPr>
        <w:t xml:space="preserve">Quelle: </w:t>
      </w:r>
      <w:r>
        <w:t>https://mcp.opencaselaw.ch/entscheid/ge_gerichte_ATAS_306_2020</w:t>
      </w:r>
    </w:p>
    <w:p>
      <w:r>
        <w:t>FR: GE_GERICHTE ATAS/306/2020 du 27 avril 2020</w:t>
      </w:r>
    </w:p>
    <w:p>
      <w:r>
        <w:t>IT: GE_GERICHTE ATAS/306/2020 del 27 aprile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w:t>
      </w:r>
    </w:p>
    <w:p>
      <w:r>
        <w:rPr>
          <w:b/>
        </w:rPr>
        <w:t>E. 3</w:t>
      </w:r>
    </w:p>
    <w:p>
      <w:r>
        <w:t>Le litige porte sur le bien-fondé de la demande de restitution de CHF 22'345.- pour la période du 1er août 2010 au 31 janvier 2019 ainsi que sur le calcul des prestations complémentaires en faveur de la recourante dès le 1er février 2019, singulièrement sur l’évaluation du bien immobilier sis en Italie.</w:t>
      </w:r>
    </w:p>
    <w:p>
      <w:r>
        <w:rPr>
          <w:b/>
        </w:rPr>
        <w:t>E. 4</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w:t>
      </w:r>
    </w:p>
    <w:p>
      <w:r>
        <w:t>_____________________________________________________________________________________</w:t>
      </w:r>
    </w:p>
    <w:p>
      <w:r>
        <w:t>A/711/2019 - 5/11 - les revenus déterminants. Les revenus déterminants comprennent notamment le produit de la fortune mobilière et immobilière (art. 11 al. 1 let. b LPC) et les ressources et parts de fortune dont un ayant droit s’est dessaisi (art. 11 al. 1 let. g LPC ; cf. ci-après : consid. 7).</w:t>
      </w:r>
    </w:p>
    <w:p>
      <w:r>
        <w:rPr>
          <w:b/>
        </w:rPr>
        <w:t>E. 5</w:t>
      </w:r>
    </w:p>
    <w:p>
      <w:r>
        <w:t>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Aux termes de l’art. 11 al. 1 let. c LPC, les revenus déterminants comprennent un quinzième de la fortune nette, un dixième pour les bénéficiaires de rentes de vieillesse, dans la mesure où elle dépasse CHF 37'500.- pour les personnes seules.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En revanche, lorsque des immeubles ne servent pas d'habitation au requérant ou à une personne comprise dans le calcul de la prestation complémentaire, ils seront pris en compte à la valeur vénale (art. 17 al. 4 OPC-AVS/AI). Dans ses commentaires concernant la modification de l'OPC-AVS/AI entrée en vigueur le 1er janvier 1992, l’Office fédéral des assurances sociales (ci-après :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P. 13/01 du 25 février 2002 consid 5c/aa; RCC 1991 p. 424). Pour les immeubles sis à l’étranger, on peut se fonder sur une estimation établie à l’étranger s’il n’est pas raisonnablement possible de procéder à une autre estimation (arrêt du Tribunal fédéral 9C_540/2009 du 17 septembre 2009 ; ch. 3444.03 des directives de l’OFAS concernant les prestations complémentaires à l’AVS et l’AI, état au 1er janvier 2017 [DPC]).</w:t>
      </w:r>
    </w:p>
    <w:p>
      <w:r>
        <w:rPr>
          <w:b/>
        </w:rPr>
        <w:t>E. 6</w:t>
      </w:r>
    </w:p>
    <w:p>
      <w:r>
        <w:t>Aux termes de l'art. 11 al. 1 let. g LPC, les revenus déterminants pour calculer le montant de la prestation complémentaire annuelle comprennent notamment les</w:t>
      </w:r>
    </w:p>
    <w:p>
      <w:r>
        <w:t>_____________________________________________________________________________________</w:t>
      </w:r>
    </w:p>
    <w:p>
      <w:r>
        <w:t>A/711/2019 - 6/11 - ressources et parts de fortune dont un ayant droit s'est dessaisi. Par dessaisissement, il faut entendre, en particulier, la renonciation à des éléments de revenu ou de fortune sans obligation juridique ni contre-prestation équivalente (ATF 134 I 65 consid. 3.2 p. 70; 131 V 329 consid. 4.2. p. 332). La renonciation à des éléments de fortune ne constitue pas un dessaisissement lorsqu'il est établi qu'il existe une corrélation directe entre cette renonciation et une contre-prestation considérée comme équivalente (arrêt du Tribunal fédéral 9C_36/2014 du 7 avril 2014 consid. 3.1). S’agissant plus spécifiquement du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3ème éd. 2016 p. 1838 s. n. 157 ; pour un cas d’application : cf. notamment l’arrêt du Tribunal fédéral des assurances P 33/05 du 8 novembre 2005 consid. 3 ; cf. ég. l’arrêt du Tribunal fédéral des assurances P 37/03 du 15 octobre 2003). Le revenu déterminant tiré d’un immeuble est celui qui pourrait effectivement être réalisé en cas de location, c'est-à-dire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 de la valeur vénale retenu à titre de valeur locative (au sens large) ou de rendement de l'immeuble n'est pas excessif, et ce, dans la mesure où les conditions locales ne peuvent pas être déterminées aisément, contrairement aux immeubles situés dans le canton (cf. ATAS/752/2017; ATAS/131/2017; ATAS/237/2012, ATAS/43/2010, ATAS/732/2009; ATAS/399/2007 ; ATAS 1040/2005, confirmé sur recours par l’arrêt du Tribunal fédéral P 57/05 du 29 août 2006). Enfin, la chambre de céans a également considéré qu’un taux de 5% était admissible (ATAS/1127/2017 du 11 décembre 2017).</w:t>
      </w:r>
    </w:p>
    <w:p>
      <w:r>
        <w:rPr>
          <w:b/>
        </w:rPr>
        <w:t>E. 7</w:t>
      </w:r>
    </w:p>
    <w:p>
      <w:r>
        <w:t>S’agissant des dépenses, elles comprennent notamment les frais d'entretien des bâtiments et les intérêts hypothécaires, jusqu'à concurrence du rendement brut de l'immeuble (art. 10 al. 3 let. b LPC). Pour les frais d’entretien des immeubles, seule la déduction fiscale forfaitaire applicable pour l’impôt cantonal direct du canton de domicile est prise en compte (art. 16 al. 1 OPC-AVS/AI). Il n’est donc pas possible de choisir entre la déduction</w:t>
      </w:r>
    </w:p>
    <w:p>
      <w:r>
        <w:t>_____________________________________________________________________________________</w:t>
      </w:r>
    </w:p>
    <w:p>
      <w:r>
        <w:t>A/711/2019 - 7/11 - forfaitaire et les frais effectifs comme en droit fiscal (arrêt du Tribunal fédéral 9C_822/2009 du 7 mai 2010 consid. 3.4 ; Michel VALTERIO, Commentaire de la loi fédérale sur les prestations complémentaires à l’AVS et à l’AI, p. 108-109 n. 54). Pour le canton de Genève, l’art. 20 al. 2 du règlement d'application de la loi sur l'imposition des personnes physiques (RIPP – D 3 08.01) dispose que cette déduction forfaitaire, calculée sur la valeur locative selon l’article 24 al. 2 de la loi sur l'imposition des personnes physiques (LIPP – D 3 08), s’élève à 10 % si l’âge du bâtiment au début de la période fiscale est inférieur ou égal à 10 ans, et à 20 %, si l’âge du bâtiment au début de la période fiscale est supérieur à 10 ans. Cette déduction s’applique même si la personne n’habite pas le bien immobilier dont elle est propriétaire (ATAS/1122/2013 du 19 novembre 2013 consid. 16a et les références citées). Il n’est dès lors pas possible de se fonder sur les frais effectifs d’entretien des immeubles. Par ailleurs, d’autres frais éventuels – et notamment les amortissements de la dette hypothécaire – ne peuvent être pris en compte comme dépenses reconnues (ch. 3260.02 et 3260.03 des DPC). La déduction forfaitaire des frais d’entretien s’applique même si l’immeuble n’est pas situé dans le canton (ATAS/1122/2013 du 19 novembre 2013 consid. 16b).</w:t>
      </w:r>
    </w:p>
    <w:p>
      <w:r>
        <w:rPr>
          <w:b/>
        </w:rPr>
        <w:t>E. 8</w:t>
      </w:r>
    </w:p>
    <w:p>
      <w:r>
        <w:t>S’agissant du taux de conversion applicable pour le calcul de la fortune immobilière et de la valeur locative y relative, il y a lieu d’appliquer les directives concernant les prestations complémentaires à l’AVS et à l’AI (DPC) de l’OFAS. Antérieurement au 1er janvier 2013, le chiffre 2087.1 des DPC prévoyait que pour les rentes et pensions versées en devises d’Etats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Le cours de conversion applicable était le cours déterminant du début de l’année correspondante. Dès le 1er janvier 2013, le cours de conversion correspond au cours du jour fixé par la Banque centrale européenne (du 1er janvier 2013 au 26 novembre 2017 le dernier cours du jour disponible du mois qui précède immédiatement le début du droit à la prestation et dès le 27 novembre 2017 le premier cours de ce jour). Bien que ces directives concernent les rentes servies, elles sont applicables mutatis mutandis aux autres éléments composant les revenus déterminants tels que la fortune immobilière.</w:t>
      </w:r>
    </w:p>
    <w:p>
      <w:r>
        <w:rPr>
          <w:b/>
        </w:rPr>
        <w:t>E. 9</w:t>
      </w:r>
    </w:p>
    <w:p>
      <w:r>
        <w:t>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de un cinquième pour les bénéficiaires de rente de vieillesse (art. 5 let. c LPCC).</w:t>
      </w:r>
    </w:p>
    <w:p>
      <w:r>
        <w:t>_____________________________________________________________________________________</w:t>
      </w:r>
    </w:p>
    <w:p>
      <w:r>
        <w:t>A/711/2019 - 8/11 -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w:t>
      </w:r>
    </w:p>
    <w:p>
      <w:r>
        <w:rPr>
          <w:b/>
        </w:rPr>
        <w:t>E. 10</w:t>
      </w:r>
    </w:p>
    <w:p>
      <w:r>
        <w:t>Selon l’art. 25 al. 1 et 2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la restitution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rétroactif - et, partant, justifier la répétition de prestations déjà perçues - lorsque sont réalisées les conditions qui président à la révocation, par son auteur, d'une décision administrative.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qui entraîne - sous réserve des autres conditions mises à la restitution - une obligation de restituer (ATF 119 V 431 consid. 2; SVR 1995 IV n° 58 p. 165; not. ATAS/191/2016). Aux termes de l'art. 97 al. 1 CP, l’action pénale se prescrit, dans ces cas, par sept ans.</w:t>
      </w:r>
    </w:p>
    <w:p>
      <w:r>
        <w:rPr>
          <w:b/>
        </w:rPr>
        <w:t>E. 11</w:t>
      </w:r>
    </w:p>
    <w:p>
      <w:r>
        <w:t>L’art. 24 al. 1 phr. 1 LPCC prescrit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t>_____________________________________________________________________________________</w:t>
      </w:r>
    </w:p>
    <w:p>
      <w:r>
        <w:t>A/711/2019 - 9/11 - Selon l'art. 28 LPCC, la restitution peut être demandée dans un délai d'une année à compter de la connaissance du fait qui ouvre le droit à la restitution, mais au plus tard cinq ans après le versement de la prestation.</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w:t>
      </w:r>
    </w:p>
    <w:p>
      <w:r>
        <w:rPr>
          <w:b/>
        </w:rPr>
        <w:t>E. 13</w:t>
      </w:r>
    </w:p>
    <w:p>
      <w:r>
        <w:t>En l’espèce, le droit de demander la restitution n’est pas périmé, l’intimé ayant rendu le 10 juillet 2017 une décision de restitution à la suite de l’annonce, par la recourante, le 27 décembre 2016 de l’existence d’un bien immobilier dont elle est propriétaire, sis en Italie. Il porte par ailleurs, à juste titre, sur une période rétroactive de sept années, laquelle correspond au délai de prescription de sept ans de l’action pénale (art. 31 LPC et 11 LPCC), la recourante ayant fautivement omis de renseigner l’intimé sur cet élément. b. La recourante prétend à la prise en compte d’une fortune mobilière de CHF 28'465.55 au 1er janvier 2018 et de CHF 21'723.34 au 1er janvier 2019, ainsi qu’un intérêt de l’épargne de respectivement CHF 28.30 et 12.59. L’intimé, dans sa réponse au recours, a indiqué qu’il était d’accord d’entrer en matière sur cette demande, au vu des nouveaux relevés bancaires produits. Ce point n’est donc plus litigieux. c. La recourante estime que la valeur de son bien immobilier sis en Italie ne devrait pas être prise en compte. Or, la LPC et la LPCC prévoient que la valeur vénale d’un tel immeuble, qui ne sert pas à l’habitation de la recourante, doit être comptabilisée au titre de revenu dans le calcul des prestations complémentaires. C’est donc à juste titre que l’intimé a majoré le revenu de la recourante de la valeur vénale de son bien, telle qu’établie par l’expertise de la B______. d. S’agissant de la valeur locative, conformément à la jurisprudence précitée, il n’y a pas de motif de s’écarter de la valeur établie par l’expertise de la B______ dès lors qu’elle correspond aux conditions du marché locatif, ce qui n’est pas le cas du taux forfaitaire de 4,5 % appliqué à la valeur vénale. Le montant annuel de EUR 2'400.-, au titre de valeur locative, peut ainsi être confirmé. En revanche, et comme requis par la recourante, il n’y a pas de motif de renoncer à l’application de la déduction de 20 % (l’immeuble ayant été construit en 1966, soit il y a plus de 20 ans) sur le montant de la valeur locative. L’intimé s’en est</w:t>
      </w:r>
    </w:p>
    <w:p>
      <w:r>
        <w:t>_____________________________________________________________________________________</w:t>
      </w:r>
    </w:p>
    <w:p>
      <w:r>
        <w:t>A/711/2019 - 10/11 - finalement rapporté à justice sur cette question et aucun élément ne permet de retenir que la valeur locative de EUR 2'400.- est une valeur nette.</w:t>
      </w:r>
    </w:p>
    <w:p>
      <w:r>
        <w:rPr>
          <w:b/>
        </w:rPr>
        <w:t>E. 14</w:t>
      </w:r>
    </w:p>
    <w:p>
      <w:r>
        <w:t>Au vu de ce qui précède, le recours sera partiellement admis et la décision litigieuse annulée, la cause étant renvoyée à l’intimé pour nouveau calcul prenant en compte une adaptation de l’épargne de la recourante aux 1er janvier 2018 et 1er janvier 2019 ainsi qu’une déduction de 20 % sur la valeur locative retenue. Pour le surplus, la procédure est gratuite.</w:t>
      </w:r>
    </w:p>
    <w:p>
      <w:r>
        <w:t>_____________________________________________________________________________________</w:t>
      </w:r>
    </w:p>
    <w:p>
      <w:r>
        <w:t>A/711/2019 - 11/11 -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