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ATAS/306/2018 vom 11. April 2018</w:t>
      </w:r>
    </w:p>
    <w:p>
      <w:r>
        <w:t>GE Cour de justice, 2018-04-11, FR</w:t>
      </w:r>
    </w:p>
    <w:p>
      <w:r>
        <w:rPr>
          <w:b/>
        </w:rPr>
        <w:t xml:space="preserve">Quelle: </w:t>
      </w:r>
      <w:r>
        <w:t>https://mcp.opencaselaw.ch/entscheid/ge_gerichte_ATAS_306_2018</w:t>
      </w:r>
    </w:p>
    <w:p>
      <w:r>
        <w:t>FR: GE_GERICHTE ATAS/306/2018 du 11 avril 2018</w:t>
      </w:r>
    </w:p>
    <w:p>
      <w:r>
        <w:t>IT: GE_GERICHTE ATAS/306/2018 del 11 aprile 2018</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w:t>
      </w:r>
    </w:p>
    <w:p>
      <w:r>
        <w:t>A/3256/2017 - 7/12 -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Interjeté dans les forme et délai légaux, le recours est recevable (art. 56 ss LPGA; art. 9 de la loi cantonale du 14 octobre 1965 sur les prestations fédérales complémentaires à l’assurance-vieillesse et survivants et à l’assurance-invalidité [LPFC - RS/GE J 4 20] ; art. 43 LPCC).</w:t>
      </w:r>
    </w:p>
    <w:p>
      <w:r>
        <w:rPr>
          <w:b/>
        </w:rPr>
        <w:t>E. 4</w:t>
      </w:r>
    </w:p>
    <w:p>
      <w:r>
        <w:t>Le litige porte sur le bien-fondé de la prise en compte par le SPC de biens dessaisis dans le calcul des prestations complémentaires de la recourante.</w:t>
      </w:r>
    </w:p>
    <w:p>
      <w:r>
        <w:rPr>
          <w:b/>
        </w:rPr>
        <w:t>E. 5</w:t>
      </w:r>
    </w:p>
    <w:p>
      <w:r>
        <w:t>a.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 vieillesse et survivants, conformément à l'art. 4 al. 1 let. a LPC. 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 Les revenus déterminants comprennent notamment les ressources et parts de fortune dont un ayant droit s’est dessaisi (art. 11 al. 1 let. g LPC). L'art. 10 LPC énumère – de manière exhaustive (arrêt du Tribunal fédéral 9C_822/2009 du 7 mai 2010 consid. 3.3 et la référence, in SVR 2011 EL n° 2 p. 5) – les dépenses reconnues. Le montant destiné à la couverture des besoins vitaux, s'élève, par année, à CHF 19'290.- pour une personne seule (art. 10 al. 1 let. a ch. 1 LPC). Ce montant inclut notamment les frais de nourriture, d'habillement, de soins corporels, de consommation d'énergie (électricité, gaz, etc.), de communication, de transport ou de loisirs (CARIGIET/KOCH, Ergänzungsleistungen zur AHV/IV, 2ème éd. 2009, p. 134; JÖHL, Ergänzungsleistungen zur AHV/IV, in Schweizerisches Bundesverwaltungsrecht [SBVR] vol. XIV, Soziale Sicherheit, 2ème éd. 2007, p. 1694 n. 86). Selon la jurisprudence, les impôts – courants ou arriérés – ne font pas partie des dépenses reconnues énumérées à l'art. 10 LPC. Il convient néanmoins d'admettre qu'ils sont compris, indépendamment de leur importance, dans le montant forfaitaire destiné à la couverture des besoins vitaux (JÖHL, op. cit., p. 1724 n. 132).</w:t>
      </w:r>
    </w:p>
    <w:p>
      <w:r>
        <w:t>A/3256/2017 - 8/12 - Les dépenses reconnues comprennent notamment le loyer d’un appartement et les frais accessoires y relatifs, et ce, jusqu’à concurrence de CHF 13'200.- par an pour les personne seules (art. 10 al. 1 let. b LPC).</w:t>
      </w:r>
    </w:p>
    <w:p>
      <w:r>
        <w:rPr>
          <w:b/>
        </w:rPr>
        <w:t>E. 6</w:t>
      </w:r>
    </w:p>
    <w:p>
      <w:r>
        <w:t>En vertu de l’art. 7 LPCC, la fortune comprend la fortune mobilière et immobilière définie par la LPC et ses dispositions d'exécution (al. 1). La fortune est évaluée selon les règles de la loi sur l'imposition des personnes physiques du 27 septembre 2009 (LIPP - D 3 08), à l'exception notamment des règles concernant les déductions sociales sur la fortune, prévues aux art. 50 let. e, et 58 de ladite loi, qui ne sont pas applicables. Les règles d'évaluation prévues par la LPC et ses dispositions d'exécution sont réservées (al. 2). Selon l’art 49 al. 1 LIPP, l'état de la fortune mobilière et immobilière est établi au 31 décembre de l'année pour laquelle l'impôt est dû. Le chiffre 3444.01 des Directives concernant les prestations complémentaires à l’AVS et à l’AI [ci-après DPC], valables dès le 1er avril 2011, précise que l’estimation des parts de fortune à prendre en compte doit s’effectuer selon les principes prévus par la législation sur l’impôt cantonal direct du canton de domicile. Est déterminante la valeur de la fortune retenue par le fisc avant la déduction des montants exempts d’impôt.</w:t>
      </w:r>
    </w:p>
    <w:p>
      <w:r>
        <w:rPr>
          <w:b/>
        </w:rPr>
        <w:t>E. 7</w:t>
      </w:r>
    </w:p>
    <w:p>
      <w:r>
        <w:t>Par dessaisissement, il faut entendre, en particulier, la renonciation à des éléments de revenu ou de fortune sans obligation juridique ni contre-prestation équivalente (ATF 123 V 35 consid. 1; ATF 121 V 204 consid. 4a). Pour vérifier s'il y a contre- 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Les conditions pour la prise en compte d'un dessaisissement de fortune sont alternatives. Pour qu'un dessaisissement de fortune puisse être pris en compte dans le calcul des prestations complémentaires, la jurisprudence soumet cet acte à la condition qu'il ait été fait « sans obligation juridique », respectivement « sans avoir reçu en échange une contre-prestation équivalente ». Les deux conditions précitées ne sont pas cumulatives, mais alternatives (ATF 131 V 329 consid. 4.3). Une contre-prestation peut être considérée comme adéquate lorsqu’elle n’entame pas la fortune ou au contraire l’augmente, mais également lorsqu’elle consiste en des dépenses destinées à l’acquisition de biens de consommation (Ralph JÖHL, Ergänzungsleistungen zur AHV/IV, SBVR, 2ème éd. 2006, p. 1807 n° 234). Le Tribunal fédéral a considéré qu'il n'y avait pas dessaisissement dans le cas d'une assurée ayant épuisé sa fortune après avoir vécu dans un certain luxe</w:t>
      </w:r>
    </w:p>
    <w:p>
      <w:r>
        <w:t>A/3256/2017 - 9/12 - (ATF 115 V 352 consid. 5b). L'existence d'un dessaisissement de fortune ne peut être admise que si l'assuré renonce à des biens sans obligation légale ni contre- 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LPC - de ne pas se préoccuper des raisons de cette situation (VSI 1994 p. 225 s. consid. 3b ; arrêt du Tribunal fédéral des assurances P 65/04 du 29 août 2005 consid. 5.3.1). Il y a lieu de prendre en compte dans le revenu déterminant tout dessaisissement sans limite de temps (Pierre FERRARI, Dessaisissement volontaire et prestations complémentaires à l'AVS/AI, in RSAS 2002, p. 420). À teneur de l'art. 17a de l'ordonnance sur les prestations complémentaires à l’assurance-vieillesse, survivants et invalidité du 15 janvier 1971 (OPC-AVS/AI - RS 831.301), la part de fortune dessaisie à prendre en compte (art. 11 al. 1 let. g LPC) est réduite chaque année de CHF 10'000.- (al. 1). La valeur de la fortune au moment du dessaisissement doit être reportée telle quelle au 1er janvier de l’année suivant celle du dessaisissement, pour être ensuite réduite chaque année (al. 2). Est déterminant pour le calcul de la prestation complémentaire annuelle le montant réduit de la fortune au 1er janvier de l’année pour laquelle la prestation est servie (al. 3). On présume ainsi que l'ayant droit, à supposer qu'il ne se soit pas dessaisi de sa fortune, en aurait mis une partie à contribution pour subvenir à ses besoins; l'amortissement prévu par cette disposition n'est cependant admis que sous la forme d'un forfait indépendant du montant exact de la fortune dessaisie ou de celle dont dispose encore l'ayant droit (cf. ATF 118 V 150 consid. 3; arrêt du Tribunal fédéral 9C_945/2011 du 11 juillet 2012 consid. 5.2.). Le Tribunal fédéral a admis la conformité de cette disposition à la loi et à la Constitution (ATF 118 V 150 consid. 3c/cc). Conformément à cette disposition, il faut qu'une année civile entière au moins se soit écoulée entre le moment où l'assuré a renoncé à des parts de fortune et le premier amortissement de fortune (Ralph JÖHL, Die Ergänzungsleistung und ihre Berechnung, in Soziale Sicherheit, SBVR vol. XIV, p. 1816 n. 247). La somme dessaisie est ensuite réduite chaque année de CHF 10'000.-. En cas de dessaisissements successifs, le solde du premier est additionné au second lorsque</w:t>
      </w:r>
    </w:p>
    <w:p>
      <w:r>
        <w:t>A/3256/2017 - 10/12 - celui-ci intervient et le total est réduit de CHF 10'000.- par année (DPC n°3483.06 et 3483.07, p. 242). En outre, conformément à l'art. 3c al. 1 let. b LPC, il convient de tenir compte, dans le calcul des revenus déterminants, du produit hypothétique de la part de fortune dont l'assuré s'est dessaisi.</w:t>
      </w:r>
    </w:p>
    <w:p>
      <w:r>
        <w:rPr>
          <w:b/>
        </w:rPr>
        <w:t>E. 8</w:t>
      </w:r>
    </w:p>
    <w:p>
      <w:r>
        <w:t>Les dispositions applicables en matière de prestations complémentaires cantonales instaurent un régime similaire. L’art. 4 LPCC prévoit qu’ont droit aux prestations les personnes dont le revenu annuel déterminant n’atteint pas le revenu minimum cantonal d’aide sociale applicable. Le revenu déterminant est calculé conformément aux dispositions fédérales, de sorte qu’il comprend également les ressources dont un ayant droit s’est dessaisi (art. 5 al. 1 LPCC). Les dépenses reconnues sont celles énumérées par la loi fédérale et ses dispositions d'exécution, à l'exclusion du montant destiné à la couverture des droits vitaux, remplacé par le montant destiné à garantir le revenu minimum cantonal d'aide sociale défini à l'art. 2 (art. 6 LPCC). Le revenu minimum cantonal d'aide sociale garanti s'élève, dès le 1er janvier 2015, à CHF 25'661.-, s’il s’agit d’une personne célibataire, veuve, divorcée, dont le partenariat enregistré a été dissous, ou qui vit séparée de son conjoint ou de son partenaire enregistré (art. 3 al. 1 let. a règlement relatif aux prestations cantonales complémentaires à l'assurance-vieillesse et survivants et à l’assurance-invalidité du 25 juin 1999 (RPCC-AVS/AI - J 4 25.03). En outre, la jurisprudence en matière de biens dessaisis s’applique mutatis mutandis en matière de prestations complémentaires cantonales (ATAS/1290/2010 du 14 décembre 2010).</w:t>
      </w:r>
    </w:p>
    <w:p>
      <w:r>
        <w:rPr>
          <w:b/>
        </w:rPr>
        <w:t>E. 9</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Lorsque des éléments de fortune ou de revenus ne sont plus à disposition, il incombe à l’assuré d’apporter la preuve qu’ils ont été remis en vertu d’une obligation légale ou moyennant une contre-prestation adéquate. L’exigence de cette preuve n’est toutefois pas absolue. Il suffit que l’assuré puisse prouver au degré de la vraisemblance prépondérante qu’il n’y pas eu dessaisissement (arrêt du Tribunal fédéral 9C_934/2009 du 28 avril 2010 consid. 2 et les références). Une preuve doit être considérée comme apportée lorsque, d’un point de vue objectif, les motifs plaidant en faveur de ce qui est allégué sont si importants que les autres possibilités envisageables ne sauraient raisonnablement entrer en considération (arrêt du Tribunal fédéral 9C_732/2014 du 12 décembre 2014 consid. 4.1.1). En revanche, en l’absence de preuve, l’assuré doit accepter que l’on s’enquière des motifs de la</w:t>
      </w:r>
    </w:p>
    <w:p>
      <w:r>
        <w:t>A/3256/2017 - 11/12 - diminution de fortune et que l’on tienne compte, le cas échéant, d’un revenu ou d’une fortune hypothétique (arrêt du Tribunal fédéral 9C_124/2014 du 4 août 2014 consid. 5 et les références). Les diminutions de fortune demeurées inexpliquées peuvent en effet être considérées comme un dessaisissement (arrêt du Tribunal fédéral des assurances P 59/02 du 28 août 2003 consid. 3.3). Avant de statuer en l'état du dossier, l'administration devra avertir la partie défaillante des conséquences de son attitude et lui impartir un délai raisonnable pour la modifier; de même devra- t-elle compléter elle-même l'instruction de la cause s'il lui est possible d'élucider les faits sans complications spéciales, malgré l'absence de collaboration d'une partie (cf. ATF 117 V 261 consid. 3b; ATF 108 V 229 consid. 2; arrêt du Tribunal fédéral des assurances P 59/02 du 28 août 2003 consid. 3.3 et les références).</w:t>
      </w:r>
    </w:p>
    <w:p>
      <w:r>
        <w:rPr>
          <w:b/>
        </w:rPr>
        <w:t>E. 10</w:t>
      </w:r>
    </w:p>
    <w:p>
      <w:r>
        <w:t>En l’espèce, la recourante n’a pas été en mesure de produire des quittances et des factures justifiant la diminution de ses comptes bancaires pour la période courant du 31 décembre 2007 au 31 décembre 2012. Les quittances qu'elle a produites concernent en effet des charges comprises dans le forfait des besoins vitaux, déjà pris en compte par le SPC selon l'art. 10 LPC, lequel inclut, notamment, les frais de nourriture, d'habillement, de soins corporels, de consommation, de communication, de transport ou de loisirs. Contrairement à ce que semble penser la recourante, un dessaisissement n'est pas seulement réalisé en cas de dons à des tiers, mais également lorsque que les dépenses du bénéficiaire des prestations ne sont pas justifiées. La recourante ne pouvait se contenter d'alléguer, sans le démontrer, qu'elle avait utilisé son patrimoine pour des dépenses liées à son train de vie. Il en résulte que, conformément à la loi et à la jurisprudence, l’intimé devait tenir compte à titre de biens dessaisis des montants correspondant à la diminution du patrimoine de la recourante intervenue entre 2007 et 2012, dont il n’est pas établi qu’ils ont servi à acquérir des biens ou des services. La décision querellée doit en conséquence être confirmée, étant relevé que le montant retenu à titre de dessaisissement a correctement été établi par le SPC en tenant compte d'une réduction annuelle de CHF 10'000.- des montants dessaisis, conformément à l'art. 17a OPC-AVS/AI.</w:t>
      </w:r>
    </w:p>
    <w:p>
      <w:r>
        <w:rPr>
          <w:b/>
        </w:rPr>
        <w:t>E. 11</w:t>
      </w:r>
    </w:p>
    <w:p>
      <w:r>
        <w:t>Compte tenu de ce qui précède, le recours doit être rejeté.</w:t>
      </w:r>
    </w:p>
    <w:p>
      <w:r>
        <w:rPr>
          <w:b/>
        </w:rPr>
        <w:t>E. 12</w:t>
      </w:r>
    </w:p>
    <w:p>
      <w:r>
        <w:t>La procédure est gratuite (art. 61 let. a LPGA ; art. 89H al. 1 LPA).</w:t>
      </w:r>
    </w:p>
    <w:p>
      <w:r>
        <w:t>A/3256/2017 - 12/12 -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